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7D36092A" w:rsidR="0059103F" w:rsidRPr="00B658B7" w:rsidRDefault="001B354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Registered Nurse </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309B5CEB" w:rsidR="0059103F" w:rsidRPr="00B658B7" w:rsidRDefault="001B354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N5937</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4E4B22DC" w:rsidR="0059103F" w:rsidRPr="00B658B7" w:rsidRDefault="001B354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Acute Services</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42CC430B" w:rsidR="0059103F" w:rsidRPr="00B658B7" w:rsidRDefault="001B354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Registered Nurse – Grade 2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52596A77"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1B3547">
                      <w:rPr>
                        <w:rStyle w:val="Style2"/>
                      </w:rPr>
                      <w:t>Nurses and Midwives (Victorian Public Health Sector) (Single Interest Employers) Enterprise Agreement 2020 - 2024</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7C776B30" w:rsidR="0059103F" w:rsidRPr="00B658B7" w:rsidRDefault="001B354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Manager Acute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0AAC957E" w14:textId="3A04602B" w:rsidR="001B3547" w:rsidRPr="00DF6DC0" w:rsidRDefault="001B3547" w:rsidP="001B3547">
      <w:pPr>
        <w:jc w:val="both"/>
        <w:rPr>
          <w:rFonts w:ascii="Calibri" w:hAnsi="Calibri"/>
          <w:color w:val="FF0000"/>
        </w:rPr>
      </w:pPr>
      <w:r w:rsidRPr="00DF6DC0">
        <w:t xml:space="preserve">A </w:t>
      </w:r>
      <w:r>
        <w:t>R</w:t>
      </w:r>
      <w:r w:rsidRPr="00DF6DC0">
        <w:t xml:space="preserve">egistered </w:t>
      </w:r>
      <w:r>
        <w:t>N</w:t>
      </w:r>
      <w:r w:rsidRPr="00DF6DC0">
        <w:t>urse (RN) is responsible for ensuring that clinical practice and delivery of care is consistent with the Nursing and Midwifery Board of Australia Standards for Practice.</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17FC74C6" w14:textId="77777777" w:rsidR="001B3547" w:rsidRDefault="001B3547" w:rsidP="001B3547">
      <w:r>
        <w:t xml:space="preserve">East Grampians Health Service has a 29-bed inpatient unit offering a wide range of clinical services located at the main Ararat campus. The inpatient unit accommodates medical, surgical, paediatric, perioperative, midwifery and palliative care patients. Developing health service partnerships, EGHS aims to service the health care needs of patients within the community as well as neighbouring towns. EGHS offers a 24-hour urgent care centre which is supported by our local GP clinic. Other acute services provided include an on-site pathology laboratory and medical imaging services.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B564EB"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B564EB"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B564EB"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C341D22" w14:textId="77777777" w:rsidR="009636A7" w:rsidRPr="00240DB8" w:rsidRDefault="00B564EB"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B564EB"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B564EB"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B564EB"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B564EB"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B564EB"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736393B8" w14:textId="77777777" w:rsidR="001B3547" w:rsidRDefault="001B3547" w:rsidP="00B677AD">
      <w:pPr>
        <w:spacing w:after="120"/>
        <w:rPr>
          <w:rFonts w:ascii="Calibri" w:hAnsi="Calibri"/>
          <w:b/>
        </w:rPr>
      </w:pPr>
    </w:p>
    <w:p w14:paraId="142C9B47" w14:textId="52B7E1F0"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3BE52C6D" w14:textId="77777777" w:rsidR="001B3547" w:rsidRPr="00DF6DC0" w:rsidRDefault="001B3547" w:rsidP="001B3547">
      <w:pPr>
        <w:pStyle w:val="ListParagraph"/>
        <w:numPr>
          <w:ilvl w:val="0"/>
          <w:numId w:val="20"/>
        </w:numPr>
        <w:ind w:left="709" w:hanging="425"/>
      </w:pPr>
      <w:r w:rsidRPr="00DF6DC0">
        <w:t>Responsible for ensuring that clinical practice and delivery of care is consistent with the Nursing and Midwifery Board of Australia Standards for Practice.</w:t>
      </w:r>
    </w:p>
    <w:p w14:paraId="61E629C9" w14:textId="77777777" w:rsidR="001B3547" w:rsidRPr="00DF6DC0" w:rsidRDefault="001B3547" w:rsidP="001B3547">
      <w:pPr>
        <w:pStyle w:val="ListParagraph"/>
        <w:numPr>
          <w:ilvl w:val="0"/>
          <w:numId w:val="20"/>
        </w:numPr>
        <w:ind w:left="709" w:hanging="425"/>
        <w:rPr>
          <w:rFonts w:ascii="Calibri" w:hAnsi="Calibri"/>
        </w:rPr>
      </w:pPr>
      <w:r w:rsidRPr="00DF6DC0">
        <w:t>Accepts responsibility for own actions, recognises limitations in practice and abilities and seeks input from more experienced clinicians and help as necessary</w:t>
      </w:r>
    </w:p>
    <w:p w14:paraId="55DDFC34" w14:textId="77777777" w:rsidR="001B3547" w:rsidRPr="00DF6DC0" w:rsidRDefault="001B3547" w:rsidP="001B3547">
      <w:pPr>
        <w:pStyle w:val="ListParagraph"/>
        <w:numPr>
          <w:ilvl w:val="0"/>
          <w:numId w:val="20"/>
        </w:numPr>
        <w:ind w:left="709" w:hanging="425"/>
        <w:rPr>
          <w:rFonts w:ascii="Calibri" w:hAnsi="Calibri"/>
        </w:rPr>
      </w:pPr>
      <w:r w:rsidRPr="00DF6DC0">
        <w:t xml:space="preserve">Provide physical, emotional and environmental assistance for patients </w:t>
      </w:r>
    </w:p>
    <w:p w14:paraId="40213E38" w14:textId="77777777" w:rsidR="001B3547" w:rsidRPr="00DF6DC0" w:rsidRDefault="001B3547" w:rsidP="001B3547">
      <w:pPr>
        <w:pStyle w:val="ListParagraph"/>
        <w:numPr>
          <w:ilvl w:val="0"/>
          <w:numId w:val="20"/>
        </w:numPr>
        <w:ind w:left="709" w:hanging="425"/>
        <w:rPr>
          <w:rFonts w:ascii="Calibri" w:hAnsi="Calibri"/>
        </w:rPr>
      </w:pPr>
      <w:r w:rsidRPr="00DF6DC0">
        <w:t>Plans, delivers, evaluates and reviews nursing care in partnership with the</w:t>
      </w:r>
      <w:r>
        <w:t xml:space="preserve"> medical practitioner,</w:t>
      </w:r>
      <w:r w:rsidRPr="00DF6DC0">
        <w:t xml:space="preserve"> pat</w:t>
      </w:r>
      <w:r>
        <w:t>ient/resident, their families/</w:t>
      </w:r>
      <w:r w:rsidRPr="00DF6DC0">
        <w:t>carers and the multidisciplinary team</w:t>
      </w:r>
    </w:p>
    <w:p w14:paraId="565CB053" w14:textId="77777777" w:rsidR="001B3547" w:rsidRPr="00DF6DC0" w:rsidRDefault="001B3547" w:rsidP="001B3547">
      <w:pPr>
        <w:pStyle w:val="ListParagraph"/>
        <w:numPr>
          <w:ilvl w:val="0"/>
          <w:numId w:val="20"/>
        </w:numPr>
        <w:ind w:left="709" w:hanging="425"/>
        <w:rPr>
          <w:rFonts w:ascii="Calibri" w:hAnsi="Calibri"/>
        </w:rPr>
      </w:pPr>
      <w:r w:rsidRPr="00DF6DC0">
        <w:t>Prioritises workload based on needs, acuity and optimal time for intervention and provide leadership and coordination of work for less experienced staff</w:t>
      </w:r>
    </w:p>
    <w:p w14:paraId="3CE55305" w14:textId="77777777" w:rsidR="001B3547" w:rsidRPr="00DF6DC0" w:rsidRDefault="001B3547" w:rsidP="001B3547">
      <w:pPr>
        <w:pStyle w:val="ListParagraph"/>
        <w:numPr>
          <w:ilvl w:val="0"/>
          <w:numId w:val="20"/>
        </w:numPr>
        <w:ind w:left="709" w:hanging="425"/>
      </w:pPr>
      <w:r w:rsidRPr="00DF6DC0">
        <w:t>Provide supervision and mentorship to students and less experienced staff in their ability to provide safe and effective care</w:t>
      </w:r>
    </w:p>
    <w:p w14:paraId="44AEABC0" w14:textId="77777777" w:rsidR="001B3547" w:rsidRPr="00DF6DC0" w:rsidRDefault="001B3547" w:rsidP="001B3547">
      <w:pPr>
        <w:pStyle w:val="ListParagraph"/>
        <w:numPr>
          <w:ilvl w:val="0"/>
          <w:numId w:val="20"/>
        </w:numPr>
        <w:ind w:left="709" w:hanging="425"/>
      </w:pPr>
      <w:r w:rsidRPr="00DF6DC0">
        <w:t>Demonstrate accurate, complete and up-to-date documentation in line with EGHS policies and maintain a high documentation standard of all staff within the designated area</w:t>
      </w:r>
    </w:p>
    <w:p w14:paraId="7BFFC2C8" w14:textId="77777777" w:rsidR="001B3547" w:rsidRPr="00DF6DC0" w:rsidRDefault="001B3547" w:rsidP="001B3547">
      <w:pPr>
        <w:pStyle w:val="ListParagraph"/>
        <w:numPr>
          <w:ilvl w:val="0"/>
          <w:numId w:val="20"/>
        </w:numPr>
        <w:ind w:left="709" w:hanging="425"/>
      </w:pPr>
      <w:r w:rsidRPr="00DF6DC0">
        <w:t>Contributes to and supports the usage of best evidence to drive patient care</w:t>
      </w:r>
    </w:p>
    <w:p w14:paraId="1DE0714A" w14:textId="77777777" w:rsidR="001B3547" w:rsidRPr="00DF6DC0" w:rsidRDefault="001B3547" w:rsidP="001B3547">
      <w:pPr>
        <w:pStyle w:val="ListParagraph"/>
        <w:numPr>
          <w:ilvl w:val="0"/>
          <w:numId w:val="20"/>
        </w:numPr>
        <w:ind w:left="709" w:hanging="425"/>
        <w:rPr>
          <w:rFonts w:ascii="Calibri" w:hAnsi="Calibri"/>
        </w:rPr>
      </w:pPr>
      <w:r w:rsidRPr="00DF6DC0">
        <w:t>Ensure that all patients, residents, clients, visitors and staff are treated with respect, dignity and courtesy in an environment that is free from harassment and discrimination</w:t>
      </w:r>
    </w:p>
    <w:p w14:paraId="4666D676" w14:textId="77777777" w:rsidR="001B3547" w:rsidRPr="00DF6DC0" w:rsidRDefault="001B3547" w:rsidP="001B3547">
      <w:pPr>
        <w:pStyle w:val="ListParagraph"/>
        <w:numPr>
          <w:ilvl w:val="0"/>
          <w:numId w:val="20"/>
        </w:numPr>
        <w:ind w:left="709" w:hanging="425"/>
        <w:rPr>
          <w:rFonts w:ascii="Calibri" w:hAnsi="Calibri"/>
        </w:rPr>
      </w:pPr>
      <w:r w:rsidRPr="00DF6DC0">
        <w:t>Undertake the admission and discharge of patients as required by your area of work</w:t>
      </w:r>
    </w:p>
    <w:p w14:paraId="3EF599A4" w14:textId="77777777" w:rsidR="001B3547" w:rsidRDefault="001B3547" w:rsidP="00B677AD">
      <w:pPr>
        <w:spacing w:after="120"/>
        <w:rPr>
          <w:rFonts w:ascii="Calibri" w:hAnsi="Calibri"/>
          <w:b/>
        </w:rPr>
      </w:pPr>
    </w:p>
    <w:p w14:paraId="350047DC" w14:textId="09A94CD7"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42E57216" w14:textId="77777777" w:rsidR="001B3547" w:rsidRDefault="001B3547" w:rsidP="001B3547">
      <w:pPr>
        <w:pStyle w:val="ListParagraph"/>
        <w:numPr>
          <w:ilvl w:val="0"/>
          <w:numId w:val="21"/>
        </w:numPr>
        <w:ind w:left="709" w:hanging="425"/>
        <w:rPr>
          <w:rFonts w:ascii="Calibri" w:hAnsi="Calibri"/>
        </w:rPr>
      </w:pPr>
      <w:r>
        <w:rPr>
          <w:rFonts w:ascii="Calibri" w:hAnsi="Calibri"/>
        </w:rPr>
        <w:t xml:space="preserve">Consistent delivery of nursing care against identified need </w:t>
      </w:r>
    </w:p>
    <w:p w14:paraId="7756960C" w14:textId="77777777" w:rsidR="001B3547" w:rsidRPr="007F2E85" w:rsidRDefault="001B3547" w:rsidP="001B3547">
      <w:pPr>
        <w:pStyle w:val="ListParagraph"/>
        <w:numPr>
          <w:ilvl w:val="0"/>
          <w:numId w:val="21"/>
        </w:numPr>
        <w:ind w:left="709" w:hanging="425"/>
        <w:rPr>
          <w:rFonts w:ascii="Calibri" w:hAnsi="Calibri"/>
        </w:rPr>
      </w:pPr>
      <w:r>
        <w:rPr>
          <w:rFonts w:ascii="Calibri" w:hAnsi="Calibri"/>
        </w:rPr>
        <w:t xml:space="preserve">Patient’s confidence in the knowledge and skills of the nurse </w:t>
      </w:r>
      <w:r w:rsidRPr="007F2E85">
        <w:rPr>
          <w:rFonts w:ascii="Calibri" w:hAnsi="Calibri"/>
        </w:rPr>
        <w:t xml:space="preserve"> </w:t>
      </w:r>
    </w:p>
    <w:p w14:paraId="4FC74551" w14:textId="77777777" w:rsidR="001B3547" w:rsidRDefault="001B3547" w:rsidP="001B3547">
      <w:pPr>
        <w:pStyle w:val="ListParagraph"/>
        <w:numPr>
          <w:ilvl w:val="0"/>
          <w:numId w:val="21"/>
        </w:numPr>
        <w:ind w:left="709" w:hanging="425"/>
        <w:rPr>
          <w:rFonts w:ascii="Calibri" w:hAnsi="Calibri"/>
        </w:rPr>
      </w:pPr>
      <w:r>
        <w:rPr>
          <w:rFonts w:ascii="Calibri" w:hAnsi="Calibri"/>
        </w:rPr>
        <w:t xml:space="preserve">Evidence of accurate and appropriate documentation where required </w:t>
      </w:r>
    </w:p>
    <w:p w14:paraId="4A86B278" w14:textId="77777777" w:rsidR="001B3547" w:rsidRDefault="001B3547" w:rsidP="00D761C1">
      <w:pPr>
        <w:rPr>
          <w:rStyle w:val="BookTitle"/>
          <w:i w:val="0"/>
          <w:sz w:val="24"/>
          <w:szCs w:val="24"/>
          <w:u w:val="single"/>
        </w:rPr>
      </w:pPr>
    </w:p>
    <w:p w14:paraId="6A0EEB5D" w14:textId="1326974A"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7B8D49A4" w14:textId="77777777" w:rsidR="001B3547" w:rsidRPr="00240DB8" w:rsidRDefault="001B3547" w:rsidP="001B3547">
      <w:pPr>
        <w:rPr>
          <w:rFonts w:ascii="Calibri" w:hAnsi="Calibri"/>
          <w:b/>
        </w:rPr>
      </w:pPr>
    </w:p>
    <w:p w14:paraId="764F242B" w14:textId="77777777" w:rsidR="001B3547" w:rsidRPr="00DF6DC0" w:rsidRDefault="001B3547" w:rsidP="001B3547">
      <w:pPr>
        <w:pStyle w:val="ListParagraph"/>
        <w:numPr>
          <w:ilvl w:val="0"/>
          <w:numId w:val="22"/>
        </w:numPr>
        <w:ind w:left="709" w:hanging="425"/>
        <w:rPr>
          <w:rFonts w:ascii="Calibri" w:hAnsi="Calibri" w:cs="Calibri"/>
        </w:rPr>
      </w:pPr>
      <w:r w:rsidRPr="00DF6DC0">
        <w:rPr>
          <w:rFonts w:ascii="Calibri" w:hAnsi="Calibri" w:cs="Calibri"/>
        </w:rPr>
        <w:t>Registered Nurse with current APHRA registration</w:t>
      </w:r>
    </w:p>
    <w:p w14:paraId="552B6EBF" w14:textId="77777777" w:rsidR="001B3547" w:rsidRPr="00DF6DC0" w:rsidRDefault="001B3547" w:rsidP="001B3547">
      <w:pPr>
        <w:pStyle w:val="ListParagraph"/>
        <w:numPr>
          <w:ilvl w:val="0"/>
          <w:numId w:val="22"/>
        </w:numPr>
        <w:ind w:left="709" w:hanging="425"/>
        <w:rPr>
          <w:rFonts w:ascii="Calibri" w:hAnsi="Calibri"/>
        </w:rPr>
      </w:pPr>
      <w:r w:rsidRPr="00DF6DC0">
        <w:t>Commitment to a high standard of personal appearance and conduct that is clean, neat, tidy, punctual and respectful in language and manner towards staff, patients, residents and visitors</w:t>
      </w:r>
    </w:p>
    <w:p w14:paraId="7E44693A" w14:textId="77777777" w:rsidR="001B3547" w:rsidRPr="00DF6DC0" w:rsidRDefault="001B3547" w:rsidP="001B3547">
      <w:pPr>
        <w:pStyle w:val="ListParagraph"/>
        <w:numPr>
          <w:ilvl w:val="0"/>
          <w:numId w:val="22"/>
        </w:numPr>
        <w:ind w:left="709" w:hanging="425"/>
        <w:rPr>
          <w:rFonts w:ascii="Calibri" w:hAnsi="Calibri"/>
        </w:rPr>
      </w:pPr>
      <w:r w:rsidRPr="00DF6DC0">
        <w:t>Demonstrated sound level of clinical nursing skills and ability to work safely and effectively within the designated area.</w:t>
      </w:r>
    </w:p>
    <w:p w14:paraId="2185E017" w14:textId="77777777" w:rsidR="001B3547" w:rsidRPr="00DF6DC0" w:rsidRDefault="001B3547" w:rsidP="001B3547">
      <w:pPr>
        <w:pStyle w:val="ListParagraph"/>
        <w:numPr>
          <w:ilvl w:val="0"/>
          <w:numId w:val="22"/>
        </w:numPr>
        <w:ind w:left="709" w:hanging="425"/>
        <w:rPr>
          <w:rFonts w:ascii="Calibri" w:hAnsi="Calibri"/>
        </w:rPr>
      </w:pPr>
      <w:r w:rsidRPr="00DF6DC0">
        <w:t>Demonstrated excellent written and verbal communication, co-ordination and organisational skills</w:t>
      </w:r>
    </w:p>
    <w:p w14:paraId="27F29C50" w14:textId="77777777" w:rsidR="001B3547" w:rsidRPr="00DF6DC0" w:rsidRDefault="001B3547" w:rsidP="001B3547">
      <w:pPr>
        <w:pStyle w:val="ListParagraph"/>
        <w:numPr>
          <w:ilvl w:val="0"/>
          <w:numId w:val="22"/>
        </w:numPr>
        <w:ind w:left="709" w:hanging="425"/>
        <w:rPr>
          <w:rFonts w:ascii="Calibri" w:hAnsi="Calibri"/>
        </w:rPr>
      </w:pPr>
      <w:r w:rsidRPr="00DF6DC0">
        <w:t>Demonstrated ability to contribute and practice collaboratively as part of a multidisciplinary team</w:t>
      </w:r>
    </w:p>
    <w:p w14:paraId="21636741" w14:textId="77777777" w:rsidR="001B3547" w:rsidRPr="00DF6DC0" w:rsidRDefault="001B3547" w:rsidP="001B3547">
      <w:pPr>
        <w:pStyle w:val="ListParagraph"/>
        <w:numPr>
          <w:ilvl w:val="0"/>
          <w:numId w:val="22"/>
        </w:numPr>
        <w:ind w:left="709" w:hanging="425"/>
        <w:rPr>
          <w:rFonts w:ascii="Calibri" w:hAnsi="Calibri"/>
        </w:rPr>
      </w:pPr>
      <w:r w:rsidRPr="00DF6DC0">
        <w:t>Commitment to flexibility and innovation in practice including an evidence based approach to care</w:t>
      </w:r>
    </w:p>
    <w:p w14:paraId="7D7CF94F" w14:textId="77777777" w:rsidR="001B3547" w:rsidRPr="00DF6DC0" w:rsidRDefault="001B3547" w:rsidP="001B3547">
      <w:pPr>
        <w:pStyle w:val="ListParagraph"/>
        <w:numPr>
          <w:ilvl w:val="0"/>
          <w:numId w:val="22"/>
        </w:numPr>
        <w:ind w:left="709" w:hanging="425"/>
      </w:pPr>
      <w:r w:rsidRPr="00DF6DC0">
        <w:t>Demonstrate excellent computer literacy skills for use within the designated area</w:t>
      </w:r>
    </w:p>
    <w:p w14:paraId="3E753D97" w14:textId="77777777" w:rsidR="001B3547" w:rsidRPr="00CD4512" w:rsidRDefault="001B3547" w:rsidP="001B3547">
      <w:pPr>
        <w:pStyle w:val="ListParagraph"/>
        <w:numPr>
          <w:ilvl w:val="0"/>
          <w:numId w:val="22"/>
        </w:numPr>
        <w:spacing w:after="160" w:line="259" w:lineRule="auto"/>
        <w:ind w:left="709" w:hanging="425"/>
        <w:rPr>
          <w:rFonts w:ascii="Calibri" w:hAnsi="Calibri"/>
          <w:b/>
        </w:rPr>
      </w:pPr>
      <w:r w:rsidRPr="00DF6DC0">
        <w:t>Current drivers licence</w:t>
      </w:r>
    </w:p>
    <w:p w14:paraId="12AD28A2" w14:textId="3EE30132" w:rsidR="001B3547" w:rsidRPr="00240DB8" w:rsidRDefault="00891E95" w:rsidP="001B3547">
      <w:pPr>
        <w:spacing w:before="120" w:after="300"/>
        <w:rPr>
          <w:rFonts w:ascii="Calibri" w:hAnsi="Calibri"/>
          <w:b/>
        </w:rPr>
      </w:pPr>
      <w:r w:rsidRPr="00551479">
        <w:rPr>
          <w:rFonts w:ascii="Calibri" w:hAnsi="Calibri"/>
          <w:b/>
        </w:rPr>
        <w:t>Desirable Criteria</w:t>
      </w:r>
    </w:p>
    <w:p w14:paraId="17FC90B7" w14:textId="77777777" w:rsidR="001B3547" w:rsidRPr="00DF6DC0" w:rsidRDefault="001B3547" w:rsidP="001B3547">
      <w:pPr>
        <w:pStyle w:val="ListParagraph"/>
        <w:numPr>
          <w:ilvl w:val="0"/>
          <w:numId w:val="23"/>
        </w:numPr>
        <w:ind w:left="709" w:hanging="425"/>
        <w:rPr>
          <w:rFonts w:ascii="Calibri" w:hAnsi="Calibri"/>
        </w:rPr>
      </w:pPr>
      <w:r w:rsidRPr="00DF6DC0">
        <w:t xml:space="preserve">Post-graduate qualification in </w:t>
      </w:r>
      <w:r>
        <w:t>Urgent Care or RIPERN</w:t>
      </w:r>
    </w:p>
    <w:p w14:paraId="76874806" w14:textId="77777777" w:rsidR="001B3547" w:rsidRDefault="001B3547" w:rsidP="007462F9">
      <w:pPr>
        <w:spacing w:after="60"/>
        <w:rPr>
          <w:rFonts w:ascii="Calibri" w:hAnsi="Calibri"/>
          <w:color w:val="FF0000"/>
        </w:rPr>
      </w:pPr>
    </w:p>
    <w:p w14:paraId="08ACB998" w14:textId="7180D564"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lastRenderedPageBreak/>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57515701" w:rsidR="00240DB8" w:rsidRPr="00240DB8" w:rsidRDefault="001B3547" w:rsidP="00140799">
            <w:pPr>
              <w:rPr>
                <w:rFonts w:ascii="Calibri" w:hAnsi="Calibri"/>
              </w:rPr>
            </w:pPr>
            <w:r>
              <w:rPr>
                <w:rFonts w:ascii="Calibri" w:hAnsi="Calibri"/>
              </w:rPr>
              <w:t>10,2019</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375CB177" w:rsidR="00240DB8" w:rsidRPr="00240DB8" w:rsidRDefault="001B3547" w:rsidP="00140799">
            <w:pPr>
              <w:rPr>
                <w:rFonts w:ascii="Calibri" w:hAnsi="Calibri"/>
              </w:rPr>
            </w:pPr>
            <w:r>
              <w:rPr>
                <w:rFonts w:ascii="Calibri" w:hAnsi="Calibri"/>
              </w:rPr>
              <w:t>P.Armstrong</w:t>
            </w: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72343DA1" w:rsidR="00891E95" w:rsidRPr="00240DB8" w:rsidRDefault="001B3547" w:rsidP="00140799">
            <w:pPr>
              <w:rPr>
                <w:rFonts w:ascii="Calibri" w:hAnsi="Calibri"/>
              </w:rPr>
            </w:pPr>
            <w:r>
              <w:rPr>
                <w:rFonts w:ascii="Calibri" w:hAnsi="Calibri"/>
              </w:rPr>
              <w:t xml:space="preserve">Director of Clinical Services </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4A3F3247" w:rsidR="0059103F" w:rsidRDefault="001B3547" w:rsidP="0059103F">
          <w:pPr>
            <w:pStyle w:val="Footer"/>
            <w:jc w:val="right"/>
            <w:rPr>
              <w:rFonts w:ascii="Tahoma" w:hAnsi="Tahoma" w:cs="Tahoma"/>
              <w:color w:val="002060"/>
              <w:sz w:val="14"/>
              <w:szCs w:val="14"/>
            </w:rPr>
          </w:pPr>
          <w:r>
            <w:rPr>
              <w:rFonts w:ascii="Tahoma" w:hAnsi="Tahoma" w:cs="Tahoma"/>
              <w:color w:val="002060"/>
              <w:sz w:val="14"/>
              <w:szCs w:val="14"/>
            </w:rPr>
            <w:t>Registered Nurse - Acute</w:t>
          </w:r>
          <w:r w:rsidR="00123777">
            <w:rPr>
              <w:rFonts w:ascii="Tahoma" w:hAnsi="Tahoma" w:cs="Tahoma"/>
              <w:color w:val="002060"/>
              <w:sz w:val="14"/>
              <w:szCs w:val="14"/>
            </w:rPr>
            <w:t xml:space="preserve"> – </w:t>
          </w:r>
          <w:r>
            <w:rPr>
              <w:rFonts w:ascii="Tahoma" w:hAnsi="Tahoma" w:cs="Tahoma"/>
              <w:color w:val="002060"/>
              <w:sz w:val="14"/>
              <w:szCs w:val="14"/>
            </w:rPr>
            <w:t>Oct</w:t>
          </w:r>
          <w:r w:rsidR="005312C1">
            <w:rPr>
              <w:rFonts w:ascii="Tahoma" w:hAnsi="Tahoma" w:cs="Tahoma"/>
              <w:color w:val="002060"/>
              <w:sz w:val="14"/>
              <w:szCs w:val="14"/>
            </w:rPr>
            <w:t xml:space="preserve"> </w:t>
          </w:r>
          <w:r>
            <w:rPr>
              <w:rFonts w:ascii="Tahoma" w:hAnsi="Tahoma" w:cs="Tahoma"/>
              <w:color w:val="002060"/>
              <w:sz w:val="14"/>
              <w:szCs w:val="14"/>
            </w:rPr>
            <w:t>19</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821"/>
    <w:multiLevelType w:val="hybridMultilevel"/>
    <w:tmpl w:val="85907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BA665A"/>
    <w:multiLevelType w:val="hybridMultilevel"/>
    <w:tmpl w:val="D26AA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A06D5"/>
    <w:multiLevelType w:val="hybridMultilevel"/>
    <w:tmpl w:val="A9360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0A6C87"/>
    <w:multiLevelType w:val="hybridMultilevel"/>
    <w:tmpl w:val="6A888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6"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4510213">
    <w:abstractNumId w:val="2"/>
  </w:num>
  <w:num w:numId="2" w16cid:durableId="1215659213">
    <w:abstractNumId w:val="14"/>
  </w:num>
  <w:num w:numId="3" w16cid:durableId="574357768">
    <w:abstractNumId w:val="10"/>
  </w:num>
  <w:num w:numId="4" w16cid:durableId="1770925686">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0441498">
    <w:abstractNumId w:val="2"/>
  </w:num>
  <w:num w:numId="6" w16cid:durableId="150869737">
    <w:abstractNumId w:val="16"/>
  </w:num>
  <w:num w:numId="7" w16cid:durableId="342753469">
    <w:abstractNumId w:val="13"/>
  </w:num>
  <w:num w:numId="8" w16cid:durableId="1195575309">
    <w:abstractNumId w:val="4"/>
  </w:num>
  <w:num w:numId="9" w16cid:durableId="398747381">
    <w:abstractNumId w:val="20"/>
  </w:num>
  <w:num w:numId="10" w16cid:durableId="500581618">
    <w:abstractNumId w:val="6"/>
  </w:num>
  <w:num w:numId="11" w16cid:durableId="134378497">
    <w:abstractNumId w:val="11"/>
  </w:num>
  <w:num w:numId="12" w16cid:durableId="824315800">
    <w:abstractNumId w:val="3"/>
  </w:num>
  <w:num w:numId="13" w16cid:durableId="923028136">
    <w:abstractNumId w:val="18"/>
  </w:num>
  <w:num w:numId="14" w16cid:durableId="2139910649">
    <w:abstractNumId w:val="19"/>
  </w:num>
  <w:num w:numId="15" w16cid:durableId="1649557194">
    <w:abstractNumId w:val="15"/>
  </w:num>
  <w:num w:numId="16" w16cid:durableId="1060054913">
    <w:abstractNumId w:val="8"/>
  </w:num>
  <w:num w:numId="17" w16cid:durableId="592860010">
    <w:abstractNumId w:val="17"/>
  </w:num>
  <w:num w:numId="18" w16cid:durableId="1501853686">
    <w:abstractNumId w:val="12"/>
  </w:num>
  <w:num w:numId="19" w16cid:durableId="2093358553">
    <w:abstractNumId w:val="5"/>
  </w:num>
  <w:num w:numId="20" w16cid:durableId="185876532">
    <w:abstractNumId w:val="0"/>
  </w:num>
  <w:num w:numId="21" w16cid:durableId="1787115606">
    <w:abstractNumId w:val="7"/>
  </w:num>
  <w:num w:numId="22" w16cid:durableId="272783664">
    <w:abstractNumId w:val="1"/>
  </w:num>
  <w:num w:numId="23" w16cid:durableId="9961064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AU" w:vendorID="64" w:dllVersion="0" w:nlCheck="1" w:checkStyle="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01221"/>
    <w:rsid w:val="000171C4"/>
    <w:rsid w:val="00040EEC"/>
    <w:rsid w:val="000756EF"/>
    <w:rsid w:val="00082A59"/>
    <w:rsid w:val="000A17DD"/>
    <w:rsid w:val="000A3F7D"/>
    <w:rsid w:val="00123777"/>
    <w:rsid w:val="0012484E"/>
    <w:rsid w:val="00140799"/>
    <w:rsid w:val="00167B03"/>
    <w:rsid w:val="001B125D"/>
    <w:rsid w:val="001B3547"/>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91E95"/>
    <w:rsid w:val="008D6351"/>
    <w:rsid w:val="008E507E"/>
    <w:rsid w:val="00910F70"/>
    <w:rsid w:val="009636A7"/>
    <w:rsid w:val="00966039"/>
    <w:rsid w:val="00994AD9"/>
    <w:rsid w:val="009D40D6"/>
    <w:rsid w:val="00A07498"/>
    <w:rsid w:val="00A93ADA"/>
    <w:rsid w:val="00AC6A9E"/>
    <w:rsid w:val="00B054F3"/>
    <w:rsid w:val="00B321BD"/>
    <w:rsid w:val="00B564EB"/>
    <w:rsid w:val="00B5709E"/>
    <w:rsid w:val="00B64BF6"/>
    <w:rsid w:val="00B658B7"/>
    <w:rsid w:val="00B677AD"/>
    <w:rsid w:val="00BA0FDA"/>
    <w:rsid w:val="00C0703A"/>
    <w:rsid w:val="00C1332B"/>
    <w:rsid w:val="00C45AB5"/>
    <w:rsid w:val="00C73932"/>
    <w:rsid w:val="00CC027F"/>
    <w:rsid w:val="00CC79B0"/>
    <w:rsid w:val="00CE4068"/>
    <w:rsid w:val="00CF2AF2"/>
    <w:rsid w:val="00D05CDB"/>
    <w:rsid w:val="00D074F0"/>
    <w:rsid w:val="00D47602"/>
    <w:rsid w:val="00D5525C"/>
    <w:rsid w:val="00D761C1"/>
    <w:rsid w:val="00D81D3B"/>
    <w:rsid w:val="00DC5D07"/>
    <w:rsid w:val="00DE3EA0"/>
    <w:rsid w:val="00E1009F"/>
    <w:rsid w:val="00E10443"/>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A208B2"/>
    <w:rsid w:val="00B321BD"/>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2</cp:revision>
  <cp:lastPrinted>2024-02-29T22:42:00Z</cp:lastPrinted>
  <dcterms:created xsi:type="dcterms:W3CDTF">2024-05-30T02:19:00Z</dcterms:created>
  <dcterms:modified xsi:type="dcterms:W3CDTF">2024-05-30T02:19:00Z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