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7B883699" w:rsidR="0059103F" w:rsidRPr="004A54B4" w:rsidRDefault="004A54B4" w:rsidP="00E31BB5">
            <w:pPr>
              <w:tabs>
                <w:tab w:val="left" w:pos="33"/>
                <w:tab w:val="left" w:pos="1363"/>
              </w:tabs>
              <w:overflowPunct w:val="0"/>
              <w:autoSpaceDE w:val="0"/>
              <w:autoSpaceDN w:val="0"/>
              <w:adjustRightInd w:val="0"/>
              <w:rPr>
                <w:rFonts w:asciiTheme="minorHAnsi" w:hAnsiTheme="minorHAnsi" w:cstheme="minorHAnsi"/>
                <w:sz w:val="22"/>
                <w:szCs w:val="22"/>
              </w:rPr>
            </w:pPr>
            <w:r w:rsidRPr="004A54B4">
              <w:rPr>
                <w:rFonts w:asciiTheme="minorHAnsi" w:hAnsiTheme="minorHAnsi" w:cstheme="minorHAnsi"/>
                <w:sz w:val="22"/>
              </w:rPr>
              <w:t>Pharmacy Technician</w:t>
            </w:r>
            <w:r w:rsidR="00002820">
              <w:rPr>
                <w:rFonts w:asciiTheme="minorHAnsi" w:hAnsiTheme="minorHAnsi" w:cstheme="minorHAnsi"/>
                <w:sz w:val="22"/>
              </w:rPr>
              <w:t xml:space="preserve"> (Trainee)</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0DF56A6B" w:rsidR="0059103F" w:rsidRPr="00CA77AE" w:rsidRDefault="00CA77AE" w:rsidP="004A54B4">
            <w:pPr>
              <w:rPr>
                <w:rFonts w:ascii="Calibri" w:hAnsi="Calibri"/>
                <w:color w:val="000000"/>
              </w:rPr>
            </w:pPr>
            <w:r>
              <w:rPr>
                <w:rFonts w:ascii="Calibri" w:hAnsi="Calibri"/>
                <w:color w:val="000000"/>
                <w:sz w:val="22"/>
                <w:szCs w:val="22"/>
              </w:rPr>
              <w:t>N</w:t>
            </w:r>
            <w:r w:rsidR="004A54B4">
              <w:rPr>
                <w:rFonts w:ascii="Calibri" w:hAnsi="Calibri"/>
                <w:color w:val="000000"/>
                <w:sz w:val="22"/>
                <w:szCs w:val="22"/>
              </w:rPr>
              <w:t>ew</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30F6BD83" w:rsidR="0059103F" w:rsidRPr="00240DB8" w:rsidRDefault="004A54B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Acute Services – Pharmacy</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5D6DFE1F" w:rsidR="0059103F" w:rsidRPr="00240DB8" w:rsidRDefault="004A54B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TF1 Grade 1 – Pharmacy Technician</w:t>
            </w:r>
          </w:p>
        </w:tc>
      </w:tr>
      <w:tr w:rsidR="006D63C3" w:rsidRPr="00240DB8" w14:paraId="7F1C0BEF" w14:textId="77777777" w:rsidTr="004A54B4">
        <w:trPr>
          <w:trHeight w:val="727"/>
        </w:trPr>
        <w:tc>
          <w:tcPr>
            <w:tcW w:w="2009" w:type="dxa"/>
            <w:vAlign w:val="center"/>
          </w:tcPr>
          <w:p w14:paraId="7F1C0BED" w14:textId="77777777" w:rsidR="006D63C3" w:rsidRPr="00240DB8" w:rsidRDefault="006D63C3" w:rsidP="006D63C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321BF333" w:rsidR="006D63C3" w:rsidRPr="00240DB8" w:rsidRDefault="006D63C3" w:rsidP="006D63C3">
            <w:pPr>
              <w:tabs>
                <w:tab w:val="left" w:pos="33"/>
                <w:tab w:val="left" w:pos="5010"/>
              </w:tabs>
              <w:overflowPunct w:val="0"/>
              <w:autoSpaceDE w:val="0"/>
              <w:autoSpaceDN w:val="0"/>
              <w:adjustRightInd w:val="0"/>
              <w:rPr>
                <w:rFonts w:ascii="Calibri" w:hAnsi="Calibri" w:cs="Calibri"/>
                <w:sz w:val="22"/>
                <w:szCs w:val="22"/>
              </w:rPr>
            </w:pPr>
            <w:r w:rsidRPr="00473FD6">
              <w:rPr>
                <w:rFonts w:ascii="Calibri" w:hAnsi="Calibri" w:cs="Calibri"/>
                <w:sz w:val="22"/>
                <w:szCs w:val="22"/>
              </w:rPr>
              <w:t xml:space="preserve">Health and Allied Services, </w:t>
            </w:r>
            <w:r w:rsidR="004A54B4">
              <w:rPr>
                <w:rFonts w:ascii="Calibri" w:hAnsi="Calibri" w:cs="Calibri"/>
                <w:sz w:val="22"/>
                <w:szCs w:val="22"/>
              </w:rPr>
              <w:t>Managers and Administrative W</w:t>
            </w:r>
            <w:r w:rsidRPr="00473FD6">
              <w:rPr>
                <w:rFonts w:ascii="Calibri" w:hAnsi="Calibri" w:cs="Calibri"/>
                <w:sz w:val="22"/>
                <w:szCs w:val="22"/>
              </w:rPr>
              <w:t>orkers</w:t>
            </w:r>
            <w:r w:rsidR="004A54B4" w:rsidRPr="00473FD6">
              <w:rPr>
                <w:rFonts w:ascii="Calibri" w:hAnsi="Calibri" w:cs="Calibri"/>
                <w:sz w:val="22"/>
                <w:szCs w:val="22"/>
              </w:rPr>
              <w:t xml:space="preserve"> </w:t>
            </w:r>
            <w:r w:rsidR="004A54B4">
              <w:rPr>
                <w:rFonts w:ascii="Calibri" w:hAnsi="Calibri" w:cs="Calibri"/>
                <w:sz w:val="22"/>
                <w:szCs w:val="22"/>
              </w:rPr>
              <w:t>(Victorian Public Health Sector</w:t>
            </w:r>
            <w:r w:rsidRPr="00473FD6">
              <w:rPr>
                <w:rFonts w:ascii="Calibri" w:hAnsi="Calibri" w:cs="Calibri"/>
                <w:sz w:val="22"/>
                <w:szCs w:val="22"/>
              </w:rPr>
              <w:t xml:space="preserve">) </w:t>
            </w:r>
            <w:r w:rsidR="004A54B4">
              <w:rPr>
                <w:rFonts w:ascii="Calibri" w:hAnsi="Calibri" w:cs="Calibri"/>
                <w:sz w:val="22"/>
                <w:szCs w:val="22"/>
              </w:rPr>
              <w:t>(</w:t>
            </w:r>
            <w:r w:rsidRPr="00473FD6">
              <w:rPr>
                <w:rFonts w:ascii="Calibri" w:hAnsi="Calibri" w:cs="Calibri"/>
                <w:sz w:val="22"/>
                <w:szCs w:val="22"/>
              </w:rPr>
              <w:t>Single Interest</w:t>
            </w:r>
            <w:r w:rsidR="004A54B4">
              <w:rPr>
                <w:rFonts w:ascii="Calibri" w:hAnsi="Calibri" w:cs="Calibri"/>
                <w:sz w:val="22"/>
                <w:szCs w:val="22"/>
              </w:rPr>
              <w:t xml:space="preserve"> Employers) Enterprise Agreement 2021-25</w:t>
            </w:r>
            <w:r w:rsidRPr="00473FD6">
              <w:rPr>
                <w:rFonts w:ascii="Calibri" w:hAnsi="Calibri" w:cs="Calibri"/>
                <w:sz w:val="22"/>
                <w:szCs w:val="22"/>
              </w:rPr>
              <w:tab/>
            </w:r>
          </w:p>
        </w:tc>
      </w:tr>
      <w:tr w:rsidR="006D63C3" w:rsidRPr="00240DB8" w14:paraId="7F1C0BF2" w14:textId="77777777" w:rsidTr="005E6FEF">
        <w:trPr>
          <w:trHeight w:val="431"/>
        </w:trPr>
        <w:tc>
          <w:tcPr>
            <w:tcW w:w="2009" w:type="dxa"/>
            <w:vAlign w:val="center"/>
          </w:tcPr>
          <w:p w14:paraId="7F1C0BF0" w14:textId="77777777" w:rsidR="006D63C3" w:rsidRPr="00240DB8" w:rsidRDefault="006D63C3" w:rsidP="006D63C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25911912" w:rsidR="006D63C3" w:rsidRPr="00240DB8" w:rsidRDefault="004A54B4" w:rsidP="006D63C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Pharmacist</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5826D5A9" w14:textId="3DF24CEF" w:rsidR="004A54B4" w:rsidRDefault="004A54B4" w:rsidP="004A54B4">
      <w:pPr>
        <w:spacing w:before="120" w:after="120"/>
      </w:pPr>
      <w:proofErr w:type="gramStart"/>
      <w:r>
        <w:t>The Pharmacy Technician is an active part of the pharmacy team and will provide safe, rational and cost-effective pharmaceutical support for the Pharmacist and the health service.</w:t>
      </w:r>
      <w:proofErr w:type="gramEnd"/>
    </w:p>
    <w:p w14:paraId="7F1C0C02" w14:textId="5B59F2CC"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558C17E6" w14:textId="77777777" w:rsidR="00E17702" w:rsidRPr="00240DB8" w:rsidRDefault="00E17702" w:rsidP="00E17702">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A7DB322" w14:textId="77777777" w:rsidR="00E17702" w:rsidRPr="00240DB8" w:rsidRDefault="00E17702" w:rsidP="00E17702">
      <w:pPr>
        <w:tabs>
          <w:tab w:val="left" w:pos="33"/>
          <w:tab w:val="left" w:pos="1363"/>
        </w:tabs>
        <w:overflowPunct w:val="0"/>
        <w:autoSpaceDE w:val="0"/>
        <w:autoSpaceDN w:val="0"/>
        <w:adjustRightInd w:val="0"/>
        <w:jc w:val="both"/>
        <w:rPr>
          <w:rFonts w:ascii="Calibri" w:hAnsi="Calibri" w:cs="Calibri"/>
        </w:rPr>
      </w:pPr>
    </w:p>
    <w:p w14:paraId="434E24B9" w14:textId="77777777" w:rsidR="00E17702" w:rsidRPr="00240DB8" w:rsidRDefault="00E17702" w:rsidP="00E17702">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w:t>
      </w:r>
      <w:proofErr w:type="gramStart"/>
      <w:r w:rsidRPr="00240DB8">
        <w:rPr>
          <w:rFonts w:ascii="Calibri" w:hAnsi="Calibri" w:cs="Calibri"/>
        </w:rPr>
        <w:t>is</w:t>
      </w:r>
      <w:proofErr w:type="gramEnd"/>
      <w:r w:rsidRPr="00240DB8">
        <w:rPr>
          <w:rFonts w:ascii="Calibri" w:hAnsi="Calibri" w:cs="Calibri"/>
        </w:rPr>
        <w:t xml:space="preserve"> an integral part of a thriving community that is committed to quality services providing health and wellbeing to people of all backgrounds. </w:t>
      </w:r>
    </w:p>
    <w:p w14:paraId="27E3B356" w14:textId="77777777" w:rsidR="00E17702" w:rsidRPr="00240DB8" w:rsidRDefault="00E17702" w:rsidP="00E17702">
      <w:pPr>
        <w:tabs>
          <w:tab w:val="left" w:pos="33"/>
          <w:tab w:val="left" w:pos="1363"/>
        </w:tabs>
        <w:overflowPunct w:val="0"/>
        <w:autoSpaceDE w:val="0"/>
        <w:autoSpaceDN w:val="0"/>
        <w:adjustRightInd w:val="0"/>
        <w:jc w:val="both"/>
        <w:rPr>
          <w:rFonts w:ascii="Calibri" w:hAnsi="Calibri" w:cs="Calibri"/>
        </w:rPr>
      </w:pPr>
    </w:p>
    <w:p w14:paraId="6563B3D2" w14:textId="77777777" w:rsidR="00E17702" w:rsidRPr="00240DB8" w:rsidRDefault="00E17702" w:rsidP="00E17702">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27B9EBE4" w14:textId="77777777" w:rsidR="004A54B4" w:rsidRDefault="004A54B4">
      <w:pPr>
        <w:spacing w:after="160" w:line="259" w:lineRule="auto"/>
        <w:rPr>
          <w:rFonts w:ascii="Calibri" w:hAnsi="Calibri"/>
          <w:b/>
        </w:rPr>
      </w:pPr>
      <w:r>
        <w:rPr>
          <w:rFonts w:ascii="Calibri" w:hAnsi="Calibri"/>
          <w:b/>
        </w:rPr>
        <w:br w:type="page"/>
      </w:r>
    </w:p>
    <w:p w14:paraId="3CF6675D" w14:textId="74562442" w:rsidR="00E17702" w:rsidRPr="00240DB8" w:rsidRDefault="00E17702" w:rsidP="00E17702">
      <w:pPr>
        <w:rPr>
          <w:rFonts w:ascii="Calibri" w:hAnsi="Calibri"/>
        </w:rPr>
      </w:pPr>
      <w:r w:rsidRPr="00240DB8">
        <w:rPr>
          <w:rFonts w:ascii="Calibri" w:hAnsi="Calibri"/>
          <w:b/>
        </w:rPr>
        <w:lastRenderedPageBreak/>
        <w:t>Our Vision</w:t>
      </w:r>
    </w:p>
    <w:p w14:paraId="53E84016" w14:textId="77777777" w:rsidR="00E17702" w:rsidRPr="00240DB8" w:rsidRDefault="00E17702" w:rsidP="00E17702">
      <w:pPr>
        <w:rPr>
          <w:rFonts w:ascii="Calibri" w:hAnsi="Calibri"/>
        </w:rPr>
      </w:pPr>
    </w:p>
    <w:p w14:paraId="0FEF7C03" w14:textId="77777777" w:rsidR="00E17702" w:rsidRPr="00240DB8" w:rsidRDefault="00E17702" w:rsidP="00E17702">
      <w:pPr>
        <w:rPr>
          <w:rFonts w:ascii="Calibri" w:hAnsi="Calibri"/>
        </w:rPr>
      </w:pPr>
      <w:r w:rsidRPr="00240DB8">
        <w:rPr>
          <w:rFonts w:ascii="Calibri" w:hAnsi="Calibri"/>
        </w:rPr>
        <w:t xml:space="preserve">To be leaders in rural health care </w:t>
      </w:r>
    </w:p>
    <w:p w14:paraId="717547C5" w14:textId="77777777" w:rsidR="00E17702" w:rsidRPr="00240DB8" w:rsidRDefault="00E17702" w:rsidP="00E17702">
      <w:pPr>
        <w:rPr>
          <w:rFonts w:ascii="Calibri" w:hAnsi="Calibri" w:cs="Calibri"/>
          <w:b/>
        </w:rPr>
      </w:pPr>
    </w:p>
    <w:p w14:paraId="3B4F31C0" w14:textId="6EDBDAC0" w:rsidR="00E17702" w:rsidRDefault="00E17702" w:rsidP="00E17702">
      <w:r>
        <w:rPr>
          <w:b/>
          <w:bCs/>
        </w:rPr>
        <w:t>Our Strategic direction</w:t>
      </w:r>
    </w:p>
    <w:p w14:paraId="68345CDA" w14:textId="77777777" w:rsidR="00E17702" w:rsidRDefault="00E17702" w:rsidP="00E17702">
      <w:pPr>
        <w:overflowPunct w:val="0"/>
        <w:autoSpaceDE w:val="0"/>
        <w:autoSpaceDN w:val="0"/>
        <w:rPr>
          <w:b/>
          <w:bCs/>
        </w:rPr>
      </w:pPr>
    </w:p>
    <w:p w14:paraId="3BDB09B0" w14:textId="77777777" w:rsidR="00E17702" w:rsidRDefault="00E17702" w:rsidP="00E17702">
      <w:pPr>
        <w:pStyle w:val="BodyText2"/>
        <w:tabs>
          <w:tab w:val="clear" w:pos="1440"/>
          <w:tab w:val="left" w:pos="1134"/>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5D0F6D64" w14:textId="77777777" w:rsidR="00E17702" w:rsidRDefault="00E17702" w:rsidP="00E17702">
      <w:pPr>
        <w:pStyle w:val="BodyText2"/>
        <w:jc w:val="both"/>
        <w:rPr>
          <w:rFonts w:ascii="Calibri" w:hAnsi="Calibri"/>
          <w:b/>
          <w:bCs/>
          <w:color w:val="92D050"/>
          <w:sz w:val="22"/>
          <w:szCs w:val="22"/>
        </w:rPr>
      </w:pPr>
    </w:p>
    <w:p w14:paraId="33E487F8" w14:textId="77777777" w:rsidR="00E17702" w:rsidRDefault="00E17702" w:rsidP="00E17702">
      <w:pPr>
        <w:pStyle w:val="BodyText2"/>
        <w:jc w:val="both"/>
        <w:rPr>
          <w:rFonts w:ascii="Calibri" w:hAnsi="Calibri"/>
          <w:b/>
          <w:bCs/>
          <w:color w:val="92D050"/>
          <w:sz w:val="22"/>
          <w:szCs w:val="22"/>
        </w:rPr>
      </w:pPr>
      <w:r>
        <w:rPr>
          <w:rFonts w:ascii="Calibri" w:hAnsi="Calibri"/>
          <w:b/>
          <w:bCs/>
          <w:color w:val="92D050"/>
          <w:sz w:val="22"/>
          <w:szCs w:val="22"/>
        </w:rPr>
        <w:t>BETTER HEALTH</w:t>
      </w:r>
    </w:p>
    <w:p w14:paraId="61410B7C" w14:textId="77777777" w:rsidR="00E17702" w:rsidRDefault="00E17702" w:rsidP="00E17702">
      <w:pPr>
        <w:pStyle w:val="BodyText2"/>
        <w:numPr>
          <w:ilvl w:val="0"/>
          <w:numId w:val="12"/>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17627E73" w14:textId="77777777" w:rsidR="00E17702" w:rsidRDefault="00E17702" w:rsidP="00E17702">
      <w:pPr>
        <w:pStyle w:val="BodyText2"/>
        <w:numPr>
          <w:ilvl w:val="0"/>
          <w:numId w:val="12"/>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3899B28E" w14:textId="77777777" w:rsidR="00E17702" w:rsidRDefault="00E17702" w:rsidP="00E17702">
      <w:pPr>
        <w:pStyle w:val="BodyText2"/>
        <w:numPr>
          <w:ilvl w:val="0"/>
          <w:numId w:val="12"/>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B63D4F0" w14:textId="77777777" w:rsidR="00E17702" w:rsidRPr="00887F05" w:rsidRDefault="00E17702" w:rsidP="00E17702">
      <w:pPr>
        <w:pStyle w:val="BodyText2"/>
        <w:numPr>
          <w:ilvl w:val="0"/>
          <w:numId w:val="12"/>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3FECF5D8" w14:textId="77777777" w:rsidR="00E17702" w:rsidRDefault="00E17702" w:rsidP="00E17702">
      <w:pPr>
        <w:pStyle w:val="BodyText2"/>
        <w:jc w:val="both"/>
        <w:rPr>
          <w:rFonts w:ascii="Calibri" w:hAnsi="Calibri"/>
          <w:b/>
          <w:bCs/>
          <w:color w:val="FFC000"/>
          <w:sz w:val="22"/>
          <w:szCs w:val="22"/>
        </w:rPr>
      </w:pPr>
      <w:r>
        <w:rPr>
          <w:rFonts w:ascii="Calibri" w:hAnsi="Calibri"/>
          <w:b/>
          <w:bCs/>
          <w:color w:val="FFC000"/>
          <w:sz w:val="22"/>
          <w:szCs w:val="22"/>
        </w:rPr>
        <w:t>BETTER ACCESS</w:t>
      </w:r>
    </w:p>
    <w:p w14:paraId="00A046A6" w14:textId="77777777" w:rsidR="00E17702" w:rsidRDefault="00E17702" w:rsidP="00E1770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1FC3065A" w14:textId="77777777" w:rsidR="00E17702" w:rsidRDefault="00E17702" w:rsidP="00E1770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17D77F71" w14:textId="77777777" w:rsidR="00E17702" w:rsidRDefault="00E17702" w:rsidP="00E1770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4140E1BD" w14:textId="77777777" w:rsidR="00E17702" w:rsidRPr="00887F05" w:rsidRDefault="00E17702" w:rsidP="00E1770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120DD05" w14:textId="77777777" w:rsidR="00E17702" w:rsidRDefault="00E17702" w:rsidP="00E17702">
      <w:pPr>
        <w:pStyle w:val="BodyText2"/>
        <w:jc w:val="both"/>
        <w:rPr>
          <w:rFonts w:ascii="Calibri" w:hAnsi="Calibri"/>
          <w:b/>
          <w:bCs/>
          <w:color w:val="FF0000"/>
          <w:sz w:val="22"/>
          <w:szCs w:val="22"/>
        </w:rPr>
      </w:pPr>
      <w:r>
        <w:rPr>
          <w:rFonts w:ascii="Calibri" w:hAnsi="Calibri"/>
          <w:b/>
          <w:bCs/>
          <w:color w:val="FF0000"/>
          <w:sz w:val="22"/>
          <w:szCs w:val="22"/>
        </w:rPr>
        <w:t>BETTER CARE</w:t>
      </w:r>
    </w:p>
    <w:p w14:paraId="14CC0ABF" w14:textId="77777777" w:rsidR="00E17702" w:rsidRDefault="00E17702" w:rsidP="00E1770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72C4F3A9" w14:textId="77777777" w:rsidR="00E17702" w:rsidRDefault="00E17702" w:rsidP="00E1770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08C49608" w14:textId="77777777" w:rsidR="00E17702" w:rsidRDefault="00E17702" w:rsidP="00E1770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8BC594A" w14:textId="77777777" w:rsidR="00E17702" w:rsidRDefault="00E17702" w:rsidP="00E1770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2E790A"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2E790A"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2E790A"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2E790A"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2E790A"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2E790A"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2E790A"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2E790A"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lastRenderedPageBreak/>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4C14DFB7" w14:textId="77777777" w:rsidR="004A54B4" w:rsidRDefault="004A54B4" w:rsidP="004A54B4">
      <w:pPr>
        <w:pStyle w:val="ListParagraph"/>
        <w:numPr>
          <w:ilvl w:val="0"/>
          <w:numId w:val="15"/>
        </w:numPr>
        <w:autoSpaceDE w:val="0"/>
        <w:autoSpaceDN w:val="0"/>
        <w:adjustRightInd w:val="0"/>
        <w:spacing w:before="120" w:after="120"/>
        <w:contextualSpacing w:val="0"/>
        <w:rPr>
          <w:rFonts w:cs="Arial"/>
        </w:rPr>
      </w:pPr>
      <w:proofErr w:type="spellStart"/>
      <w:r>
        <w:rPr>
          <w:rFonts w:cs="Arial"/>
        </w:rPr>
        <w:t>Imprest</w:t>
      </w:r>
      <w:proofErr w:type="spellEnd"/>
      <w:r>
        <w:rPr>
          <w:rFonts w:cs="Arial"/>
        </w:rPr>
        <w:t xml:space="preserve"> stock control and maintenance</w:t>
      </w:r>
    </w:p>
    <w:p w14:paraId="57D741AD"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 xml:space="preserve">Operation of the pharmacy </w:t>
      </w:r>
      <w:proofErr w:type="spellStart"/>
      <w:r>
        <w:rPr>
          <w:rFonts w:cs="Arial"/>
        </w:rPr>
        <w:t>imprest</w:t>
      </w:r>
      <w:proofErr w:type="spellEnd"/>
      <w:r>
        <w:rPr>
          <w:rFonts w:cs="Arial"/>
        </w:rPr>
        <w:t xml:space="preserve"> system to wards and other departments including stock level audits, data entry requirements into </w:t>
      </w:r>
      <w:proofErr w:type="spellStart"/>
      <w:r>
        <w:rPr>
          <w:rFonts w:cs="Arial"/>
        </w:rPr>
        <w:t>iPharmacy</w:t>
      </w:r>
      <w:proofErr w:type="spellEnd"/>
      <w:r>
        <w:rPr>
          <w:rFonts w:cs="Arial"/>
        </w:rPr>
        <w:t>, assembly of stock, delivery of stock and placement into storage areas</w:t>
      </w:r>
    </w:p>
    <w:p w14:paraId="77FF6DA6"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proofErr w:type="spellStart"/>
      <w:r>
        <w:rPr>
          <w:rFonts w:cs="Arial"/>
        </w:rPr>
        <w:t>Imprest</w:t>
      </w:r>
      <w:proofErr w:type="spellEnd"/>
      <w:r>
        <w:rPr>
          <w:rFonts w:cs="Arial"/>
        </w:rPr>
        <w:t xml:space="preserve"> shelves are maintained in accordance with an agreed range and quantity of in date stock</w:t>
      </w:r>
    </w:p>
    <w:p w14:paraId="1D1E7769"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Stock control functions such as expiry date checking, recycling of stock and internal stock movements</w:t>
      </w:r>
    </w:p>
    <w:p w14:paraId="34D7C598"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 xml:space="preserve">Maintaining the inventory system </w:t>
      </w:r>
      <w:proofErr w:type="spellStart"/>
      <w:r>
        <w:rPr>
          <w:rFonts w:cs="Arial"/>
        </w:rPr>
        <w:t>iPharmacy</w:t>
      </w:r>
      <w:proofErr w:type="spellEnd"/>
      <w:r>
        <w:rPr>
          <w:rFonts w:cs="Arial"/>
        </w:rPr>
        <w:t xml:space="preserve"> to ensure any discrepancies in stock levels/product descriptions have been reviewed and fixed in a timely manner</w:t>
      </w:r>
    </w:p>
    <w:p w14:paraId="54C438E0" w14:textId="77777777" w:rsidR="004A54B4" w:rsidRDefault="004A54B4" w:rsidP="004A54B4">
      <w:pPr>
        <w:pStyle w:val="ListParagraph"/>
        <w:autoSpaceDE w:val="0"/>
        <w:autoSpaceDN w:val="0"/>
        <w:adjustRightInd w:val="0"/>
        <w:spacing w:before="120" w:after="120"/>
        <w:ind w:left="1440"/>
        <w:contextualSpacing w:val="0"/>
        <w:rPr>
          <w:rFonts w:cs="Arial"/>
        </w:rPr>
      </w:pPr>
    </w:p>
    <w:p w14:paraId="06C6CF5B" w14:textId="77777777" w:rsidR="004A54B4" w:rsidRDefault="004A54B4" w:rsidP="004A54B4">
      <w:pPr>
        <w:pStyle w:val="ListParagraph"/>
        <w:numPr>
          <w:ilvl w:val="0"/>
          <w:numId w:val="15"/>
        </w:numPr>
        <w:autoSpaceDE w:val="0"/>
        <w:autoSpaceDN w:val="0"/>
        <w:adjustRightInd w:val="0"/>
        <w:spacing w:before="120" w:after="120"/>
        <w:contextualSpacing w:val="0"/>
        <w:rPr>
          <w:rFonts w:cs="Arial"/>
        </w:rPr>
      </w:pPr>
      <w:r>
        <w:rPr>
          <w:rFonts w:cs="Arial"/>
        </w:rPr>
        <w:t>Packing medication for use after hours</w:t>
      </w:r>
    </w:p>
    <w:p w14:paraId="140D91B4"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 xml:space="preserve">To assist the Pharmacist in repacking approved medication for after-hours use. This will involve learned knowledge of </w:t>
      </w:r>
      <w:proofErr w:type="spellStart"/>
      <w:r>
        <w:rPr>
          <w:rFonts w:cs="Arial"/>
        </w:rPr>
        <w:t>iPharmacy</w:t>
      </w:r>
      <w:proofErr w:type="spellEnd"/>
      <w:r>
        <w:rPr>
          <w:rFonts w:cs="Arial"/>
        </w:rPr>
        <w:t xml:space="preserve"> and its manufacturing component and very high attention to detail</w:t>
      </w:r>
    </w:p>
    <w:p w14:paraId="679B7058" w14:textId="77777777" w:rsidR="004A54B4" w:rsidRDefault="004A54B4" w:rsidP="004A54B4">
      <w:pPr>
        <w:pStyle w:val="ListParagraph"/>
        <w:autoSpaceDE w:val="0"/>
        <w:autoSpaceDN w:val="0"/>
        <w:adjustRightInd w:val="0"/>
        <w:spacing w:before="120" w:after="120"/>
        <w:ind w:left="1440"/>
        <w:contextualSpacing w:val="0"/>
        <w:rPr>
          <w:rFonts w:cs="Arial"/>
        </w:rPr>
      </w:pPr>
    </w:p>
    <w:p w14:paraId="5131C486" w14:textId="77777777" w:rsidR="004A54B4" w:rsidRDefault="004A54B4" w:rsidP="004A54B4">
      <w:pPr>
        <w:pStyle w:val="ListParagraph"/>
        <w:numPr>
          <w:ilvl w:val="0"/>
          <w:numId w:val="15"/>
        </w:numPr>
        <w:autoSpaceDE w:val="0"/>
        <w:autoSpaceDN w:val="0"/>
        <w:adjustRightInd w:val="0"/>
        <w:spacing w:before="120" w:after="120"/>
        <w:contextualSpacing w:val="0"/>
        <w:rPr>
          <w:rFonts w:cs="Arial"/>
        </w:rPr>
      </w:pPr>
      <w:r>
        <w:rPr>
          <w:rFonts w:cs="Arial"/>
        </w:rPr>
        <w:t>Support the work of the team and the department</w:t>
      </w:r>
    </w:p>
    <w:p w14:paraId="7D4D1960"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Following the completion of training and orientation, to work in all areas of EGHS that Pharmacy are involved in to support leave or during other absences.</w:t>
      </w:r>
    </w:p>
    <w:p w14:paraId="11D369C5"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 xml:space="preserve">General duties including photocopying, filing, signage development, general tidying, cleaning of </w:t>
      </w:r>
      <w:proofErr w:type="spellStart"/>
      <w:r>
        <w:rPr>
          <w:rFonts w:cs="Arial"/>
        </w:rPr>
        <w:t>imprest</w:t>
      </w:r>
      <w:proofErr w:type="spellEnd"/>
      <w:r>
        <w:rPr>
          <w:rFonts w:cs="Arial"/>
        </w:rPr>
        <w:t xml:space="preserve"> </w:t>
      </w:r>
      <w:proofErr w:type="gramStart"/>
      <w:r>
        <w:rPr>
          <w:rFonts w:cs="Arial"/>
        </w:rPr>
        <w:t>areas and pharmacy work area</w:t>
      </w:r>
      <w:proofErr w:type="gramEnd"/>
      <w:r>
        <w:rPr>
          <w:rFonts w:cs="Arial"/>
        </w:rPr>
        <w:t xml:space="preserve"> and general maintenance of equipment and materials.</w:t>
      </w:r>
    </w:p>
    <w:p w14:paraId="768D61A3" w14:textId="77777777" w:rsidR="004A54B4" w:rsidRPr="00C92A43" w:rsidRDefault="004A54B4" w:rsidP="004A54B4">
      <w:pPr>
        <w:pStyle w:val="ListParagraph"/>
        <w:autoSpaceDE w:val="0"/>
        <w:autoSpaceDN w:val="0"/>
        <w:adjustRightInd w:val="0"/>
        <w:spacing w:before="120" w:after="120"/>
        <w:ind w:left="1440"/>
        <w:contextualSpacing w:val="0"/>
        <w:rPr>
          <w:rFonts w:cs="Arial"/>
        </w:rPr>
      </w:pPr>
    </w:p>
    <w:p w14:paraId="28E79776" w14:textId="77777777" w:rsidR="004A54B4" w:rsidRDefault="004A54B4" w:rsidP="004A54B4">
      <w:pPr>
        <w:pStyle w:val="ListParagraph"/>
        <w:numPr>
          <w:ilvl w:val="0"/>
          <w:numId w:val="15"/>
        </w:numPr>
        <w:autoSpaceDE w:val="0"/>
        <w:autoSpaceDN w:val="0"/>
        <w:adjustRightInd w:val="0"/>
        <w:spacing w:before="120" w:after="120"/>
        <w:contextualSpacing w:val="0"/>
        <w:rPr>
          <w:rFonts w:cs="Arial"/>
        </w:rPr>
      </w:pPr>
      <w:r>
        <w:rPr>
          <w:rFonts w:cs="Arial"/>
        </w:rPr>
        <w:t>Maintain a standard of excellence in all care</w:t>
      </w:r>
    </w:p>
    <w:p w14:paraId="57AA5D69"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Maintain attention to detail</w:t>
      </w:r>
    </w:p>
    <w:p w14:paraId="3DCE734A"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Accept responsibility for the activities that they are performing</w:t>
      </w:r>
    </w:p>
    <w:p w14:paraId="3429B82C"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Maintain the expected level of accuracy in all tasks</w:t>
      </w:r>
    </w:p>
    <w:p w14:paraId="3F8B451A"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Demonstration of proficiency, initiation and management skills relevant to the Grade achieved.</w:t>
      </w:r>
    </w:p>
    <w:p w14:paraId="5CE6DD78" w14:textId="77777777" w:rsidR="004A54B4" w:rsidRDefault="004A54B4" w:rsidP="004A54B4">
      <w:pPr>
        <w:pStyle w:val="ListParagraph"/>
        <w:numPr>
          <w:ilvl w:val="1"/>
          <w:numId w:val="15"/>
        </w:numPr>
        <w:autoSpaceDE w:val="0"/>
        <w:autoSpaceDN w:val="0"/>
        <w:adjustRightInd w:val="0"/>
        <w:spacing w:before="120" w:after="120"/>
        <w:contextualSpacing w:val="0"/>
        <w:rPr>
          <w:rFonts w:cs="Arial"/>
        </w:rPr>
      </w:pPr>
      <w:r>
        <w:rPr>
          <w:rFonts w:cs="Arial"/>
        </w:rPr>
        <w:t>Ability to work with a high amount of autonomy and responsibility</w:t>
      </w:r>
    </w:p>
    <w:p w14:paraId="151B39BE" w14:textId="77777777" w:rsidR="002A7BF1" w:rsidRPr="002A7BF1" w:rsidRDefault="002A7BF1" w:rsidP="002A7BF1">
      <w:pPr>
        <w:rPr>
          <w:rFonts w:ascii="Calibri" w:hAnsi="Calibri"/>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7F1C0C5B" w14:textId="49826D24" w:rsidR="00DE3EA0" w:rsidRPr="002E790A" w:rsidRDefault="00CE4068">
      <w:pPr>
        <w:rPr>
          <w:rFonts w:ascii="Calibri" w:hAnsi="Calibri"/>
        </w:rPr>
      </w:pPr>
      <w:r w:rsidRPr="002E790A">
        <w:rPr>
          <w:rFonts w:ascii="Calibri" w:hAnsi="Calibri"/>
        </w:rPr>
        <w:t xml:space="preserve">Key performance measures are how you </w:t>
      </w:r>
      <w:proofErr w:type="gramStart"/>
      <w:r w:rsidRPr="002E790A">
        <w:rPr>
          <w:rFonts w:ascii="Calibri" w:hAnsi="Calibri"/>
        </w:rPr>
        <w:t>will be measured</w:t>
      </w:r>
      <w:proofErr w:type="gramEnd"/>
      <w:r w:rsidRPr="002E790A">
        <w:rPr>
          <w:rFonts w:ascii="Calibri" w:hAnsi="Calibri"/>
        </w:rPr>
        <w:t xml:space="preserve"> as to meeting the responsibilities of the position listed above. These measures will be used as a part of the P</w:t>
      </w:r>
      <w:r w:rsidR="00E17702" w:rsidRPr="002E790A">
        <w:rPr>
          <w:rFonts w:ascii="Calibri" w:hAnsi="Calibri"/>
        </w:rPr>
        <w:t>erfo</w:t>
      </w:r>
      <w:r w:rsidR="00BC6352" w:rsidRPr="002E790A">
        <w:rPr>
          <w:rFonts w:ascii="Calibri" w:hAnsi="Calibri"/>
        </w:rPr>
        <w:t>rm</w:t>
      </w:r>
      <w:r w:rsidR="00E17702" w:rsidRPr="002E790A">
        <w:rPr>
          <w:rFonts w:ascii="Calibri" w:hAnsi="Calibri"/>
        </w:rPr>
        <w:t>ance</w:t>
      </w:r>
      <w:r w:rsidRPr="002E790A">
        <w:rPr>
          <w:rFonts w:ascii="Calibri" w:hAnsi="Calibri"/>
        </w:rPr>
        <w:t xml:space="preserve"> Development Plan (PDP) to be commenced within the first six months of the appointment and then to be reviewed on an annual basis. </w:t>
      </w:r>
    </w:p>
    <w:p w14:paraId="7F1C0C5C" w14:textId="77777777" w:rsidR="00CE4068" w:rsidRPr="00240DB8" w:rsidRDefault="00CE4068">
      <w:pPr>
        <w:rPr>
          <w:rFonts w:ascii="Calibri" w:hAnsi="Calibri"/>
          <w:color w:val="FF0000"/>
        </w:rPr>
      </w:pPr>
      <w:bookmarkStart w:id="0" w:name="_GoBack"/>
      <w:bookmarkEnd w:id="0"/>
    </w:p>
    <w:p w14:paraId="7F1C0C5E" w14:textId="77777777" w:rsidR="00CE4068" w:rsidRPr="00240DB8" w:rsidRDefault="00CE4068">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61F504B9" w14:textId="62C741D5" w:rsidR="004A54B4" w:rsidRPr="00D17105" w:rsidRDefault="004A54B4" w:rsidP="004A54B4">
      <w:pPr>
        <w:pStyle w:val="ListParagraph"/>
        <w:numPr>
          <w:ilvl w:val="0"/>
          <w:numId w:val="17"/>
        </w:numPr>
        <w:tabs>
          <w:tab w:val="left" w:pos="0"/>
          <w:tab w:val="left" w:pos="1870"/>
        </w:tabs>
        <w:spacing w:before="120" w:after="120"/>
        <w:contextualSpacing w:val="0"/>
        <w:jc w:val="both"/>
        <w:rPr>
          <w:rFonts w:cstheme="minorHAnsi"/>
          <w:b/>
        </w:rPr>
      </w:pPr>
      <w:r w:rsidRPr="00D17105">
        <w:rPr>
          <w:rFonts w:cstheme="minorHAnsi"/>
        </w:rPr>
        <w:t>Completed, or willingness to undertake Pharmacy Technician course</w:t>
      </w:r>
      <w:r w:rsidR="00BC6352">
        <w:rPr>
          <w:rFonts w:cstheme="minorHAnsi"/>
        </w:rPr>
        <w:t xml:space="preserve"> </w:t>
      </w:r>
      <w:r w:rsidRPr="00D17105">
        <w:rPr>
          <w:rFonts w:cstheme="minorHAnsi"/>
        </w:rPr>
        <w:t>- Certificate</w:t>
      </w:r>
      <w:r>
        <w:rPr>
          <w:rFonts w:cstheme="minorHAnsi"/>
        </w:rPr>
        <w:t xml:space="preserve"> III/</w:t>
      </w:r>
      <w:r w:rsidRPr="00D17105">
        <w:rPr>
          <w:rFonts w:cstheme="minorHAnsi"/>
        </w:rPr>
        <w:t>IV in Hospital/Health Services Pharmacy Support</w:t>
      </w:r>
    </w:p>
    <w:p w14:paraId="0FC31523" w14:textId="75F86C8C" w:rsidR="004A54B4" w:rsidRPr="00D17105" w:rsidRDefault="004A54B4" w:rsidP="004A54B4">
      <w:pPr>
        <w:pStyle w:val="ListParagraph"/>
        <w:numPr>
          <w:ilvl w:val="0"/>
          <w:numId w:val="17"/>
        </w:numPr>
        <w:tabs>
          <w:tab w:val="left" w:pos="0"/>
          <w:tab w:val="left" w:pos="1870"/>
        </w:tabs>
        <w:spacing w:before="120" w:after="120"/>
        <w:contextualSpacing w:val="0"/>
        <w:jc w:val="both"/>
        <w:rPr>
          <w:rFonts w:cstheme="minorHAnsi"/>
          <w:b/>
        </w:rPr>
      </w:pPr>
      <w:r w:rsidRPr="00D17105">
        <w:rPr>
          <w:rFonts w:cstheme="minorHAnsi"/>
        </w:rPr>
        <w:t xml:space="preserve">Basic knowledge of IT and general computer programs (e.g.: Word, Excel </w:t>
      </w:r>
      <w:proofErr w:type="spellStart"/>
      <w:r w:rsidRPr="00D17105">
        <w:rPr>
          <w:rFonts w:cstheme="minorHAnsi"/>
        </w:rPr>
        <w:t>etc</w:t>
      </w:r>
      <w:proofErr w:type="spellEnd"/>
      <w:r w:rsidRPr="00D17105">
        <w:rPr>
          <w:rFonts w:cstheme="minorHAnsi"/>
        </w:rPr>
        <w:t xml:space="preserve">)  </w:t>
      </w:r>
    </w:p>
    <w:p w14:paraId="4A0E90B8" w14:textId="77777777" w:rsidR="004A54B4" w:rsidRPr="00D17105" w:rsidRDefault="004A54B4" w:rsidP="004A54B4">
      <w:pPr>
        <w:pStyle w:val="ListParagraph"/>
        <w:numPr>
          <w:ilvl w:val="0"/>
          <w:numId w:val="17"/>
        </w:numPr>
        <w:tabs>
          <w:tab w:val="left" w:pos="0"/>
          <w:tab w:val="left" w:pos="1870"/>
        </w:tabs>
        <w:spacing w:before="120" w:after="120"/>
        <w:contextualSpacing w:val="0"/>
        <w:jc w:val="both"/>
        <w:rPr>
          <w:rFonts w:cstheme="minorHAnsi"/>
        </w:rPr>
      </w:pPr>
      <w:r w:rsidRPr="00D17105">
        <w:rPr>
          <w:rFonts w:cstheme="minorHAnsi"/>
        </w:rPr>
        <w:t>Ability to work under the direction or supervision of a pharmacist as a member of a pharmacy team in accordance with legislative requirements and Pharmacy Board of Australia Guidelines</w:t>
      </w:r>
    </w:p>
    <w:p w14:paraId="2BD2B4BE" w14:textId="77777777" w:rsidR="004A54B4" w:rsidRPr="00D17105" w:rsidRDefault="004A54B4" w:rsidP="004A54B4">
      <w:pPr>
        <w:pStyle w:val="ListParagraph"/>
        <w:numPr>
          <w:ilvl w:val="0"/>
          <w:numId w:val="17"/>
        </w:numPr>
        <w:tabs>
          <w:tab w:val="left" w:pos="0"/>
          <w:tab w:val="left" w:pos="1870"/>
        </w:tabs>
        <w:spacing w:before="120" w:after="120"/>
        <w:contextualSpacing w:val="0"/>
        <w:jc w:val="both"/>
        <w:rPr>
          <w:rFonts w:cstheme="minorHAnsi"/>
        </w:rPr>
      </w:pPr>
      <w:r w:rsidRPr="00D17105">
        <w:rPr>
          <w:rFonts w:cstheme="minorHAnsi"/>
        </w:rPr>
        <w:t>Personal attributes including:</w:t>
      </w:r>
    </w:p>
    <w:p w14:paraId="4D6CA4F4" w14:textId="77777777" w:rsidR="004A54B4" w:rsidRPr="00D17105" w:rsidRDefault="004A54B4" w:rsidP="004A54B4">
      <w:pPr>
        <w:pStyle w:val="ListParagraph"/>
        <w:numPr>
          <w:ilvl w:val="1"/>
          <w:numId w:val="17"/>
        </w:numPr>
        <w:tabs>
          <w:tab w:val="left" w:pos="0"/>
          <w:tab w:val="left" w:pos="1870"/>
        </w:tabs>
        <w:spacing w:before="120" w:after="120"/>
        <w:contextualSpacing w:val="0"/>
        <w:jc w:val="both"/>
        <w:rPr>
          <w:rFonts w:cstheme="minorHAnsi"/>
        </w:rPr>
      </w:pPr>
      <w:r w:rsidRPr="00D17105">
        <w:rPr>
          <w:rFonts w:cstheme="minorHAnsi"/>
        </w:rPr>
        <w:t>Communication skills</w:t>
      </w:r>
    </w:p>
    <w:p w14:paraId="5C010CDD" w14:textId="77777777" w:rsidR="004A54B4" w:rsidRPr="00D17105" w:rsidRDefault="004A54B4" w:rsidP="004A54B4">
      <w:pPr>
        <w:pStyle w:val="ListParagraph"/>
        <w:numPr>
          <w:ilvl w:val="1"/>
          <w:numId w:val="17"/>
        </w:numPr>
        <w:tabs>
          <w:tab w:val="left" w:pos="0"/>
          <w:tab w:val="left" w:pos="1870"/>
        </w:tabs>
        <w:spacing w:before="120" w:after="120"/>
        <w:contextualSpacing w:val="0"/>
        <w:jc w:val="both"/>
        <w:rPr>
          <w:rFonts w:cstheme="minorHAnsi"/>
        </w:rPr>
      </w:pPr>
      <w:r w:rsidRPr="00D17105">
        <w:rPr>
          <w:rFonts w:cstheme="minorHAnsi"/>
        </w:rPr>
        <w:t>Develop</w:t>
      </w:r>
      <w:r>
        <w:rPr>
          <w:rFonts w:cstheme="minorHAnsi"/>
        </w:rPr>
        <w:t>ment</w:t>
      </w:r>
      <w:r w:rsidRPr="00D17105">
        <w:rPr>
          <w:rFonts w:cstheme="minorHAnsi"/>
        </w:rPr>
        <w:t xml:space="preserve"> of effective working relationships</w:t>
      </w:r>
    </w:p>
    <w:p w14:paraId="2F576D87" w14:textId="77777777" w:rsidR="004A54B4" w:rsidRPr="00D17105" w:rsidRDefault="004A54B4" w:rsidP="004A54B4">
      <w:pPr>
        <w:pStyle w:val="ListParagraph"/>
        <w:numPr>
          <w:ilvl w:val="1"/>
          <w:numId w:val="17"/>
        </w:numPr>
        <w:tabs>
          <w:tab w:val="left" w:pos="0"/>
          <w:tab w:val="left" w:pos="1870"/>
        </w:tabs>
        <w:spacing w:before="120" w:after="120"/>
        <w:contextualSpacing w:val="0"/>
        <w:jc w:val="both"/>
        <w:rPr>
          <w:rFonts w:cstheme="minorHAnsi"/>
        </w:rPr>
      </w:pPr>
      <w:r w:rsidRPr="00D17105">
        <w:rPr>
          <w:rFonts w:cstheme="minorHAnsi"/>
        </w:rPr>
        <w:t>Flexibility</w:t>
      </w:r>
    </w:p>
    <w:p w14:paraId="48119575" w14:textId="77777777" w:rsidR="004A54B4" w:rsidRPr="00D17105" w:rsidRDefault="004A54B4" w:rsidP="004A54B4">
      <w:pPr>
        <w:pStyle w:val="ListParagraph"/>
        <w:numPr>
          <w:ilvl w:val="1"/>
          <w:numId w:val="17"/>
        </w:numPr>
        <w:tabs>
          <w:tab w:val="left" w:pos="0"/>
          <w:tab w:val="left" w:pos="1870"/>
        </w:tabs>
        <w:spacing w:before="120" w:after="120"/>
        <w:contextualSpacing w:val="0"/>
        <w:jc w:val="both"/>
        <w:rPr>
          <w:rFonts w:cstheme="minorHAnsi"/>
        </w:rPr>
      </w:pPr>
      <w:r w:rsidRPr="00D17105">
        <w:rPr>
          <w:rFonts w:cstheme="minorHAnsi"/>
        </w:rPr>
        <w:t>Integrity, commitment and loyalty</w:t>
      </w:r>
    </w:p>
    <w:p w14:paraId="659F72EF" w14:textId="77777777" w:rsidR="004A54B4" w:rsidRPr="00D17105" w:rsidRDefault="004A54B4" w:rsidP="004A54B4">
      <w:pPr>
        <w:pStyle w:val="ListParagraph"/>
        <w:numPr>
          <w:ilvl w:val="1"/>
          <w:numId w:val="17"/>
        </w:numPr>
        <w:tabs>
          <w:tab w:val="left" w:pos="0"/>
          <w:tab w:val="left" w:pos="1870"/>
        </w:tabs>
        <w:spacing w:before="120" w:after="120"/>
        <w:contextualSpacing w:val="0"/>
        <w:jc w:val="both"/>
        <w:rPr>
          <w:rFonts w:cstheme="minorHAnsi"/>
        </w:rPr>
      </w:pPr>
      <w:r w:rsidRPr="00D17105">
        <w:rPr>
          <w:rFonts w:cstheme="minorHAnsi"/>
        </w:rPr>
        <w:t>Organisation skills</w:t>
      </w:r>
    </w:p>
    <w:p w14:paraId="310914F7" w14:textId="77777777" w:rsidR="004A54B4" w:rsidRPr="00D17105" w:rsidRDefault="004A54B4" w:rsidP="004A54B4">
      <w:pPr>
        <w:tabs>
          <w:tab w:val="left" w:pos="0"/>
          <w:tab w:val="left" w:pos="1870"/>
        </w:tabs>
        <w:spacing w:before="120" w:after="120"/>
        <w:jc w:val="both"/>
        <w:rPr>
          <w:rFonts w:cstheme="minorHAnsi"/>
          <w:b/>
        </w:rPr>
      </w:pPr>
    </w:p>
    <w:p w14:paraId="44760EEA" w14:textId="468D493F" w:rsidR="004A54B4" w:rsidRPr="00D17105" w:rsidRDefault="004A54B4" w:rsidP="004A54B4">
      <w:pPr>
        <w:tabs>
          <w:tab w:val="left" w:pos="0"/>
          <w:tab w:val="left" w:pos="1870"/>
        </w:tabs>
        <w:spacing w:before="120" w:after="120"/>
        <w:jc w:val="both"/>
        <w:rPr>
          <w:rFonts w:cstheme="minorHAnsi"/>
          <w:b/>
        </w:rPr>
      </w:pPr>
      <w:r w:rsidRPr="00D17105">
        <w:rPr>
          <w:rFonts w:cstheme="minorHAnsi"/>
          <w:b/>
        </w:rPr>
        <w:t xml:space="preserve">Desirable </w:t>
      </w:r>
      <w:r>
        <w:rPr>
          <w:rFonts w:cstheme="minorHAnsi"/>
          <w:b/>
        </w:rPr>
        <w:t>Criteria:</w:t>
      </w:r>
    </w:p>
    <w:p w14:paraId="0026EFEB" w14:textId="77777777" w:rsidR="004A54B4" w:rsidRPr="00D17105" w:rsidRDefault="004A54B4" w:rsidP="004A54B4">
      <w:pPr>
        <w:pStyle w:val="ListParagraph"/>
        <w:numPr>
          <w:ilvl w:val="0"/>
          <w:numId w:val="16"/>
        </w:numPr>
        <w:tabs>
          <w:tab w:val="left" w:pos="0"/>
          <w:tab w:val="left" w:pos="1870"/>
        </w:tabs>
        <w:spacing w:before="120" w:after="120"/>
        <w:contextualSpacing w:val="0"/>
        <w:jc w:val="both"/>
        <w:rPr>
          <w:rFonts w:cstheme="minorHAnsi"/>
          <w:b/>
        </w:rPr>
      </w:pPr>
      <w:r w:rsidRPr="00D17105">
        <w:rPr>
          <w:rFonts w:cstheme="minorHAnsi"/>
        </w:rPr>
        <w:t>Previous experience as a Pharmacy Technician (hospital or community)</w:t>
      </w:r>
    </w:p>
    <w:p w14:paraId="70CEB3BB" w14:textId="77777777" w:rsidR="004A54B4" w:rsidRPr="00D17105" w:rsidRDefault="004A54B4" w:rsidP="004A54B4">
      <w:pPr>
        <w:pStyle w:val="ListParagraph"/>
        <w:numPr>
          <w:ilvl w:val="0"/>
          <w:numId w:val="16"/>
        </w:numPr>
        <w:tabs>
          <w:tab w:val="left" w:pos="0"/>
          <w:tab w:val="left" w:pos="1870"/>
        </w:tabs>
        <w:spacing w:before="120" w:after="120"/>
        <w:contextualSpacing w:val="0"/>
        <w:jc w:val="both"/>
        <w:rPr>
          <w:rFonts w:cstheme="minorHAnsi"/>
        </w:rPr>
      </w:pPr>
      <w:r w:rsidRPr="00D17105">
        <w:rPr>
          <w:rFonts w:cstheme="minorHAnsi"/>
        </w:rPr>
        <w:t xml:space="preserve">Previous experience with </w:t>
      </w:r>
      <w:proofErr w:type="spellStart"/>
      <w:r w:rsidRPr="00D17105">
        <w:rPr>
          <w:rFonts w:cstheme="minorHAnsi"/>
        </w:rPr>
        <w:t>iPharmacy</w:t>
      </w:r>
      <w:proofErr w:type="spellEnd"/>
    </w:p>
    <w:p w14:paraId="07B831FA" w14:textId="77777777" w:rsidR="00262A6B" w:rsidRPr="00240DB8" w:rsidRDefault="00262A6B" w:rsidP="00D761C1">
      <w:pPr>
        <w:rPr>
          <w:rFonts w:ascii="Calibri" w:hAnsi="Calibri"/>
        </w:rPr>
      </w:pPr>
    </w:p>
    <w:p w14:paraId="7F1C0C69" w14:textId="277019EB" w:rsidR="00D761C1" w:rsidRDefault="00D761C1" w:rsidP="00D761C1">
      <w:pPr>
        <w:rPr>
          <w:rFonts w:ascii="Calibri" w:hAnsi="Calibri"/>
          <w:b/>
        </w:rPr>
      </w:pPr>
      <w:r w:rsidRPr="00CA77AE">
        <w:rPr>
          <w:rFonts w:ascii="Calibri" w:hAnsi="Calibri"/>
          <w:b/>
        </w:rPr>
        <w:t xml:space="preserve">Must comply </w:t>
      </w:r>
      <w:proofErr w:type="gramStart"/>
      <w:r w:rsidRPr="00CA77AE">
        <w:rPr>
          <w:rFonts w:ascii="Calibri" w:hAnsi="Calibri"/>
          <w:b/>
        </w:rPr>
        <w:t>to</w:t>
      </w:r>
      <w:proofErr w:type="gramEnd"/>
      <w:r w:rsidRPr="00CA77AE">
        <w:rPr>
          <w:rFonts w:ascii="Calibri" w:hAnsi="Calibri"/>
          <w:b/>
        </w:rPr>
        <w:t xml:space="preserve"> having or completion of:</w:t>
      </w:r>
    </w:p>
    <w:p w14:paraId="129F07B8" w14:textId="77777777" w:rsidR="00CA77AE" w:rsidRPr="00CA77AE" w:rsidRDefault="00CA77AE" w:rsidP="00D761C1">
      <w:pPr>
        <w:rPr>
          <w:rFonts w:ascii="Calibri" w:hAnsi="Calibri"/>
          <w:b/>
        </w:rPr>
      </w:pPr>
    </w:p>
    <w:p w14:paraId="7F1C0C6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16A6394B" w:rsidR="00D761C1" w:rsidRDefault="00D761C1" w:rsidP="00D761C1">
      <w:pPr>
        <w:pStyle w:val="ListParagraph"/>
        <w:numPr>
          <w:ilvl w:val="0"/>
          <w:numId w:val="8"/>
        </w:numPr>
        <w:rPr>
          <w:rFonts w:ascii="Calibri" w:hAnsi="Calibri"/>
        </w:rPr>
      </w:pPr>
      <w:r w:rsidRPr="00240DB8">
        <w:rPr>
          <w:rFonts w:ascii="Calibri" w:hAnsi="Calibri"/>
        </w:rPr>
        <w:t xml:space="preserve">Working with Children Check (renewed every 5 years) </w:t>
      </w:r>
    </w:p>
    <w:p w14:paraId="01F0ACEB" w14:textId="0828609F" w:rsidR="00E17702" w:rsidRDefault="00E17702" w:rsidP="00D761C1">
      <w:pPr>
        <w:pStyle w:val="ListParagraph"/>
        <w:numPr>
          <w:ilvl w:val="0"/>
          <w:numId w:val="8"/>
        </w:numPr>
        <w:rPr>
          <w:rFonts w:ascii="Calibri" w:hAnsi="Calibri"/>
        </w:rPr>
      </w:pPr>
      <w:r>
        <w:rPr>
          <w:rFonts w:ascii="Calibri" w:hAnsi="Calibri"/>
        </w:rPr>
        <w:t>Vaccinations as required</w:t>
      </w:r>
    </w:p>
    <w:p w14:paraId="17261538" w14:textId="1C89CD81" w:rsidR="003C2071" w:rsidRPr="00240DB8" w:rsidRDefault="003C2071" w:rsidP="00D761C1">
      <w:pPr>
        <w:pStyle w:val="ListParagraph"/>
        <w:numPr>
          <w:ilvl w:val="0"/>
          <w:numId w:val="8"/>
        </w:numPr>
        <w:rPr>
          <w:rFonts w:ascii="Calibri" w:hAnsi="Calibri"/>
        </w:rPr>
      </w:pPr>
      <w:r>
        <w:rPr>
          <w:rFonts w:ascii="Calibri" w:hAnsi="Calibri"/>
        </w:rPr>
        <w:t>Current drivers licence</w:t>
      </w:r>
    </w:p>
    <w:p w14:paraId="189DD16C" w14:textId="77777777" w:rsidR="00BC6352" w:rsidRDefault="00CA77AE" w:rsidP="00BC6352">
      <w:pPr>
        <w:rPr>
          <w:rFonts w:ascii="Calibri" w:hAnsi="Calibri"/>
          <w:b/>
        </w:rPr>
      </w:pPr>
      <w:r>
        <w:rPr>
          <w:rFonts w:ascii="Calibri" w:hAnsi="Calibri"/>
          <w:b/>
        </w:rPr>
        <w:br/>
      </w:r>
    </w:p>
    <w:p w14:paraId="768D8864" w14:textId="77777777" w:rsidR="00BC6352" w:rsidRDefault="00BC6352" w:rsidP="00BC6352">
      <w:pPr>
        <w:rPr>
          <w:rFonts w:ascii="Calibri" w:hAnsi="Calibri"/>
          <w:b/>
        </w:rPr>
      </w:pPr>
    </w:p>
    <w:p w14:paraId="5C7DEF04" w14:textId="77777777" w:rsidR="00BC6352" w:rsidRDefault="00BC6352" w:rsidP="00BC6352">
      <w:pPr>
        <w:rPr>
          <w:rFonts w:ascii="Calibri" w:hAnsi="Calibri"/>
          <w:b/>
        </w:rPr>
      </w:pPr>
    </w:p>
    <w:p w14:paraId="63E82501" w14:textId="77777777" w:rsidR="00BC6352" w:rsidRDefault="00BC6352" w:rsidP="00BC6352">
      <w:pPr>
        <w:rPr>
          <w:rFonts w:ascii="Calibri" w:hAnsi="Calibri"/>
          <w:b/>
        </w:rPr>
      </w:pPr>
    </w:p>
    <w:p w14:paraId="2378B0C9" w14:textId="77777777" w:rsidR="00BC6352" w:rsidRDefault="00BC6352" w:rsidP="00BC6352">
      <w:pPr>
        <w:rPr>
          <w:rFonts w:ascii="Calibri" w:hAnsi="Calibri"/>
          <w:b/>
        </w:rPr>
      </w:pPr>
    </w:p>
    <w:p w14:paraId="5623951F" w14:textId="77777777" w:rsidR="00BC6352" w:rsidRDefault="00BC6352" w:rsidP="00BC6352">
      <w:pPr>
        <w:rPr>
          <w:rFonts w:ascii="Calibri" w:hAnsi="Calibri"/>
          <w:b/>
        </w:rPr>
      </w:pPr>
    </w:p>
    <w:p w14:paraId="3D4F7F26" w14:textId="77777777" w:rsidR="00BC6352" w:rsidRDefault="00BC6352" w:rsidP="00BC6352">
      <w:pPr>
        <w:rPr>
          <w:rFonts w:ascii="Calibri" w:hAnsi="Calibri"/>
          <w:b/>
        </w:rPr>
      </w:pPr>
    </w:p>
    <w:p w14:paraId="770AB1D7" w14:textId="77777777" w:rsidR="00BC6352" w:rsidRDefault="00BC6352" w:rsidP="00BC6352">
      <w:pPr>
        <w:rPr>
          <w:rFonts w:ascii="Calibri" w:hAnsi="Calibri"/>
          <w:b/>
        </w:rPr>
      </w:pPr>
    </w:p>
    <w:p w14:paraId="4ADFF0C9" w14:textId="77777777" w:rsidR="00BC6352" w:rsidRDefault="00BC6352" w:rsidP="00BC6352">
      <w:pPr>
        <w:rPr>
          <w:rFonts w:ascii="Calibri" w:hAnsi="Calibri"/>
          <w:b/>
        </w:rPr>
      </w:pPr>
    </w:p>
    <w:p w14:paraId="1C3A92DC" w14:textId="77777777" w:rsidR="00BC6352" w:rsidRDefault="00BC6352" w:rsidP="00BC6352">
      <w:pPr>
        <w:rPr>
          <w:rFonts w:ascii="Calibri" w:hAnsi="Calibri"/>
          <w:b/>
        </w:rPr>
      </w:pPr>
    </w:p>
    <w:p w14:paraId="77ACCCBB" w14:textId="77777777" w:rsidR="00BC6352" w:rsidRDefault="00BC6352" w:rsidP="00BC6352">
      <w:pPr>
        <w:rPr>
          <w:rFonts w:ascii="Calibri" w:hAnsi="Calibri"/>
          <w:b/>
        </w:rPr>
      </w:pPr>
    </w:p>
    <w:p w14:paraId="2FC04AE7" w14:textId="00AFE9E6" w:rsidR="00BC6352" w:rsidRPr="00240DB8" w:rsidRDefault="00BC6352" w:rsidP="00BC6352">
      <w:pPr>
        <w:rPr>
          <w:rFonts w:ascii="Calibri" w:hAnsi="Calibri"/>
          <w:b/>
        </w:rPr>
      </w:pPr>
      <w:r w:rsidRPr="00240DB8">
        <w:rPr>
          <w:rFonts w:ascii="Calibri" w:hAnsi="Calibri"/>
          <w:b/>
        </w:rPr>
        <w:lastRenderedPageBreak/>
        <w:t>Acknowledgement</w:t>
      </w:r>
    </w:p>
    <w:p w14:paraId="7F0651D0" w14:textId="77777777" w:rsidR="00BC6352" w:rsidRDefault="00BC6352" w:rsidP="00BC6352">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BC6352" w:rsidRPr="00240DB8" w14:paraId="7CB956E5" w14:textId="77777777" w:rsidTr="00971EB7">
        <w:trPr>
          <w:trHeight w:val="567"/>
        </w:trPr>
        <w:tc>
          <w:tcPr>
            <w:tcW w:w="2405" w:type="dxa"/>
            <w:vAlign w:val="center"/>
          </w:tcPr>
          <w:p w14:paraId="307D86DC" w14:textId="77777777" w:rsidR="00BC6352" w:rsidRPr="00D474FB" w:rsidRDefault="00BC6352" w:rsidP="00971EB7">
            <w:pPr>
              <w:rPr>
                <w:rFonts w:ascii="Calibri" w:hAnsi="Calibri"/>
                <w:b/>
              </w:rPr>
            </w:pPr>
            <w:r w:rsidRPr="00D474FB">
              <w:rPr>
                <w:rFonts w:ascii="Calibri" w:hAnsi="Calibri"/>
                <w:b/>
              </w:rPr>
              <w:t>Employee Name:</w:t>
            </w:r>
          </w:p>
        </w:tc>
        <w:tc>
          <w:tcPr>
            <w:tcW w:w="6635" w:type="dxa"/>
            <w:gridSpan w:val="3"/>
            <w:vAlign w:val="center"/>
          </w:tcPr>
          <w:p w14:paraId="5AAB67C8" w14:textId="77777777" w:rsidR="00BC6352" w:rsidRPr="00240DB8" w:rsidRDefault="00BC6352" w:rsidP="00971EB7">
            <w:pPr>
              <w:rPr>
                <w:rFonts w:ascii="Calibri" w:hAnsi="Calibri"/>
              </w:rPr>
            </w:pPr>
          </w:p>
        </w:tc>
      </w:tr>
      <w:tr w:rsidR="00BC6352" w:rsidRPr="00240DB8" w14:paraId="3A527AF5" w14:textId="77777777" w:rsidTr="00971EB7">
        <w:trPr>
          <w:trHeight w:val="567"/>
        </w:trPr>
        <w:tc>
          <w:tcPr>
            <w:tcW w:w="2405" w:type="dxa"/>
            <w:vAlign w:val="center"/>
          </w:tcPr>
          <w:p w14:paraId="6D4776F7" w14:textId="77777777" w:rsidR="00BC6352" w:rsidRPr="00D474FB" w:rsidRDefault="00BC6352" w:rsidP="00971EB7">
            <w:pPr>
              <w:rPr>
                <w:rFonts w:ascii="Calibri" w:hAnsi="Calibri"/>
                <w:b/>
              </w:rPr>
            </w:pPr>
            <w:r w:rsidRPr="00D474FB">
              <w:rPr>
                <w:rFonts w:ascii="Calibri" w:hAnsi="Calibri"/>
                <w:b/>
              </w:rPr>
              <w:t>Employee Signature:</w:t>
            </w:r>
          </w:p>
        </w:tc>
        <w:tc>
          <w:tcPr>
            <w:tcW w:w="3866" w:type="dxa"/>
            <w:vAlign w:val="center"/>
          </w:tcPr>
          <w:p w14:paraId="69ABD199" w14:textId="77777777" w:rsidR="00BC6352" w:rsidRPr="00240DB8" w:rsidRDefault="00BC6352" w:rsidP="00971EB7">
            <w:pPr>
              <w:rPr>
                <w:rFonts w:ascii="Calibri" w:hAnsi="Calibri"/>
              </w:rPr>
            </w:pPr>
          </w:p>
        </w:tc>
        <w:tc>
          <w:tcPr>
            <w:tcW w:w="708" w:type="dxa"/>
            <w:vAlign w:val="center"/>
          </w:tcPr>
          <w:p w14:paraId="7F94BBC3" w14:textId="77777777" w:rsidR="00BC6352" w:rsidRPr="00D474FB" w:rsidRDefault="00BC6352" w:rsidP="00971EB7">
            <w:pPr>
              <w:rPr>
                <w:rFonts w:ascii="Calibri" w:hAnsi="Calibri"/>
                <w:b/>
              </w:rPr>
            </w:pPr>
            <w:r w:rsidRPr="00D474FB">
              <w:rPr>
                <w:rFonts w:ascii="Calibri" w:hAnsi="Calibri"/>
                <w:b/>
              </w:rPr>
              <w:t>Date:</w:t>
            </w:r>
          </w:p>
        </w:tc>
        <w:tc>
          <w:tcPr>
            <w:tcW w:w="2061" w:type="dxa"/>
            <w:vAlign w:val="center"/>
          </w:tcPr>
          <w:p w14:paraId="07F4183C" w14:textId="77777777" w:rsidR="00BC6352" w:rsidRPr="00240DB8" w:rsidRDefault="00BC6352" w:rsidP="00971EB7">
            <w:pPr>
              <w:rPr>
                <w:rFonts w:ascii="Calibri" w:hAnsi="Calibri"/>
              </w:rPr>
            </w:pPr>
          </w:p>
        </w:tc>
      </w:tr>
      <w:tr w:rsidR="00BC6352" w:rsidRPr="00240DB8" w14:paraId="7313E9D1" w14:textId="77777777" w:rsidTr="00971EB7">
        <w:trPr>
          <w:trHeight w:val="284"/>
        </w:trPr>
        <w:tc>
          <w:tcPr>
            <w:tcW w:w="2405" w:type="dxa"/>
            <w:shd w:val="clear" w:color="auto" w:fill="E7E6E6" w:themeFill="background2"/>
            <w:vAlign w:val="center"/>
          </w:tcPr>
          <w:p w14:paraId="0943D596" w14:textId="77777777" w:rsidR="00BC6352" w:rsidRPr="00240DB8" w:rsidRDefault="00BC6352" w:rsidP="00971EB7">
            <w:pPr>
              <w:rPr>
                <w:rFonts w:ascii="Calibri" w:hAnsi="Calibri"/>
              </w:rPr>
            </w:pPr>
          </w:p>
        </w:tc>
        <w:tc>
          <w:tcPr>
            <w:tcW w:w="6635" w:type="dxa"/>
            <w:gridSpan w:val="3"/>
            <w:shd w:val="clear" w:color="auto" w:fill="E7E6E6" w:themeFill="background2"/>
            <w:vAlign w:val="center"/>
          </w:tcPr>
          <w:p w14:paraId="0A658109" w14:textId="77777777" w:rsidR="00BC6352" w:rsidRPr="00240DB8" w:rsidRDefault="00BC6352" w:rsidP="00971EB7">
            <w:pPr>
              <w:rPr>
                <w:rFonts w:ascii="Calibri" w:hAnsi="Calibri"/>
              </w:rPr>
            </w:pPr>
          </w:p>
        </w:tc>
      </w:tr>
      <w:tr w:rsidR="00BC6352" w:rsidRPr="00240DB8" w14:paraId="43EA3467" w14:textId="77777777" w:rsidTr="00971EB7">
        <w:trPr>
          <w:trHeight w:val="567"/>
        </w:trPr>
        <w:tc>
          <w:tcPr>
            <w:tcW w:w="2405" w:type="dxa"/>
            <w:vAlign w:val="center"/>
          </w:tcPr>
          <w:p w14:paraId="5DFDF5EE" w14:textId="77777777" w:rsidR="00BC6352" w:rsidRPr="00D474FB" w:rsidRDefault="00BC6352" w:rsidP="00971EB7">
            <w:pPr>
              <w:rPr>
                <w:rFonts w:ascii="Calibri" w:hAnsi="Calibri"/>
                <w:b/>
              </w:rPr>
            </w:pPr>
            <w:r w:rsidRPr="00D474FB">
              <w:rPr>
                <w:rFonts w:ascii="Calibri" w:hAnsi="Calibri"/>
                <w:b/>
              </w:rPr>
              <w:t>Manager Name:</w:t>
            </w:r>
          </w:p>
        </w:tc>
        <w:tc>
          <w:tcPr>
            <w:tcW w:w="6635" w:type="dxa"/>
            <w:gridSpan w:val="3"/>
            <w:vAlign w:val="center"/>
          </w:tcPr>
          <w:p w14:paraId="72D080CD" w14:textId="77777777" w:rsidR="00BC6352" w:rsidRPr="00240DB8" w:rsidRDefault="00BC6352" w:rsidP="00971EB7">
            <w:pPr>
              <w:rPr>
                <w:rFonts w:ascii="Calibri" w:hAnsi="Calibri"/>
              </w:rPr>
            </w:pPr>
          </w:p>
        </w:tc>
      </w:tr>
      <w:tr w:rsidR="00BC6352" w:rsidRPr="00240DB8" w14:paraId="1FE4423D" w14:textId="77777777" w:rsidTr="00971EB7">
        <w:trPr>
          <w:trHeight w:val="567"/>
        </w:trPr>
        <w:tc>
          <w:tcPr>
            <w:tcW w:w="2405" w:type="dxa"/>
            <w:vAlign w:val="center"/>
          </w:tcPr>
          <w:p w14:paraId="0AE93E0B" w14:textId="77777777" w:rsidR="00BC6352" w:rsidRPr="00D474FB" w:rsidRDefault="00BC6352" w:rsidP="00971EB7">
            <w:pPr>
              <w:rPr>
                <w:rFonts w:ascii="Calibri" w:hAnsi="Calibri"/>
                <w:b/>
              </w:rPr>
            </w:pPr>
            <w:r w:rsidRPr="00D474FB">
              <w:rPr>
                <w:rFonts w:ascii="Calibri" w:hAnsi="Calibri"/>
                <w:b/>
              </w:rPr>
              <w:t>Manager Signature :</w:t>
            </w:r>
          </w:p>
        </w:tc>
        <w:tc>
          <w:tcPr>
            <w:tcW w:w="3866" w:type="dxa"/>
            <w:vAlign w:val="center"/>
          </w:tcPr>
          <w:p w14:paraId="30FDF1AE" w14:textId="77777777" w:rsidR="00BC6352" w:rsidRPr="00240DB8" w:rsidRDefault="00BC6352" w:rsidP="00971EB7">
            <w:pPr>
              <w:rPr>
                <w:rFonts w:ascii="Calibri" w:hAnsi="Calibri"/>
              </w:rPr>
            </w:pPr>
          </w:p>
        </w:tc>
        <w:tc>
          <w:tcPr>
            <w:tcW w:w="708" w:type="dxa"/>
            <w:vAlign w:val="center"/>
          </w:tcPr>
          <w:p w14:paraId="192D7735" w14:textId="77777777" w:rsidR="00BC6352" w:rsidRPr="00D474FB" w:rsidRDefault="00BC6352" w:rsidP="00971EB7">
            <w:pPr>
              <w:rPr>
                <w:rFonts w:ascii="Calibri" w:hAnsi="Calibri"/>
                <w:b/>
              </w:rPr>
            </w:pPr>
            <w:r w:rsidRPr="00D474FB">
              <w:rPr>
                <w:rFonts w:ascii="Calibri" w:hAnsi="Calibri"/>
                <w:b/>
              </w:rPr>
              <w:t>Date:</w:t>
            </w:r>
          </w:p>
        </w:tc>
        <w:tc>
          <w:tcPr>
            <w:tcW w:w="2061" w:type="dxa"/>
            <w:vAlign w:val="center"/>
          </w:tcPr>
          <w:p w14:paraId="0042DB50" w14:textId="77777777" w:rsidR="00BC6352" w:rsidRPr="00240DB8" w:rsidRDefault="00BC6352" w:rsidP="00971EB7">
            <w:pPr>
              <w:rPr>
                <w:rFonts w:ascii="Calibri" w:hAnsi="Calibri"/>
              </w:rPr>
            </w:pPr>
          </w:p>
        </w:tc>
      </w:tr>
      <w:tr w:rsidR="00BC6352" w:rsidRPr="00240DB8" w14:paraId="16E777C4" w14:textId="77777777" w:rsidTr="00971EB7">
        <w:trPr>
          <w:trHeight w:val="284"/>
        </w:trPr>
        <w:tc>
          <w:tcPr>
            <w:tcW w:w="2405" w:type="dxa"/>
            <w:shd w:val="clear" w:color="auto" w:fill="E7E6E6" w:themeFill="background2"/>
            <w:vAlign w:val="center"/>
          </w:tcPr>
          <w:p w14:paraId="12CDDE27" w14:textId="77777777" w:rsidR="00BC6352" w:rsidRPr="00240DB8" w:rsidRDefault="00BC6352" w:rsidP="00971EB7">
            <w:pPr>
              <w:rPr>
                <w:rFonts w:ascii="Calibri" w:hAnsi="Calibri"/>
              </w:rPr>
            </w:pPr>
          </w:p>
        </w:tc>
        <w:tc>
          <w:tcPr>
            <w:tcW w:w="6635" w:type="dxa"/>
            <w:gridSpan w:val="3"/>
            <w:shd w:val="clear" w:color="auto" w:fill="E7E6E6" w:themeFill="background2"/>
            <w:vAlign w:val="center"/>
          </w:tcPr>
          <w:p w14:paraId="7ED044AC" w14:textId="77777777" w:rsidR="00BC6352" w:rsidRPr="00240DB8" w:rsidRDefault="00BC6352" w:rsidP="00971EB7">
            <w:pPr>
              <w:rPr>
                <w:rFonts w:ascii="Calibri" w:hAnsi="Calibri"/>
              </w:rPr>
            </w:pPr>
          </w:p>
        </w:tc>
      </w:tr>
      <w:tr w:rsidR="00BC6352" w:rsidRPr="00D474FB" w14:paraId="7EFBE920" w14:textId="77777777" w:rsidTr="00971EB7">
        <w:trPr>
          <w:trHeight w:val="283"/>
        </w:trPr>
        <w:tc>
          <w:tcPr>
            <w:tcW w:w="2405" w:type="dxa"/>
            <w:vAlign w:val="center"/>
          </w:tcPr>
          <w:p w14:paraId="48EA68A7" w14:textId="77777777" w:rsidR="00BC6352" w:rsidRPr="00D474FB" w:rsidRDefault="00BC6352" w:rsidP="00971EB7">
            <w:pPr>
              <w:rPr>
                <w:rFonts w:ascii="Calibri" w:hAnsi="Calibri"/>
                <w:b/>
              </w:rPr>
            </w:pPr>
            <w:r w:rsidRPr="00D474FB">
              <w:rPr>
                <w:rFonts w:ascii="Calibri" w:hAnsi="Calibri"/>
                <w:b/>
              </w:rPr>
              <w:t>Developed Date:</w:t>
            </w:r>
          </w:p>
        </w:tc>
        <w:tc>
          <w:tcPr>
            <w:tcW w:w="6635" w:type="dxa"/>
            <w:gridSpan w:val="3"/>
            <w:vAlign w:val="center"/>
          </w:tcPr>
          <w:p w14:paraId="63BDAF53" w14:textId="47E249BB" w:rsidR="00BC6352" w:rsidRPr="00D474FB" w:rsidRDefault="00BC6352" w:rsidP="00971EB7">
            <w:pPr>
              <w:rPr>
                <w:rFonts w:ascii="Calibri" w:hAnsi="Calibri"/>
                <w:b/>
              </w:rPr>
            </w:pPr>
            <w:r>
              <w:rPr>
                <w:rFonts w:ascii="Calibri" w:hAnsi="Calibri"/>
                <w:b/>
              </w:rPr>
              <w:t>May 2023</w:t>
            </w:r>
          </w:p>
        </w:tc>
      </w:tr>
      <w:tr w:rsidR="00BC6352" w:rsidRPr="00D474FB" w14:paraId="3963BD69" w14:textId="77777777" w:rsidTr="00971EB7">
        <w:trPr>
          <w:trHeight w:val="283"/>
        </w:trPr>
        <w:tc>
          <w:tcPr>
            <w:tcW w:w="2405" w:type="dxa"/>
            <w:vAlign w:val="center"/>
          </w:tcPr>
          <w:p w14:paraId="212B78FF" w14:textId="77777777" w:rsidR="00BC6352" w:rsidRPr="00D474FB" w:rsidRDefault="00BC6352" w:rsidP="00971EB7">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1BCD9898" w14:textId="77777777" w:rsidR="00BC6352" w:rsidRPr="00D474FB" w:rsidRDefault="00BC6352" w:rsidP="00971EB7">
            <w:pPr>
              <w:rPr>
                <w:rFonts w:ascii="Calibri" w:hAnsi="Calibri"/>
                <w:b/>
              </w:rPr>
            </w:pPr>
          </w:p>
        </w:tc>
      </w:tr>
      <w:tr w:rsidR="00BC6352" w:rsidRPr="00D474FB" w14:paraId="51119612" w14:textId="77777777" w:rsidTr="00971EB7">
        <w:trPr>
          <w:trHeight w:val="283"/>
        </w:trPr>
        <w:tc>
          <w:tcPr>
            <w:tcW w:w="2405" w:type="dxa"/>
            <w:vAlign w:val="center"/>
          </w:tcPr>
          <w:p w14:paraId="426635D8" w14:textId="77777777" w:rsidR="00BC6352" w:rsidRPr="00D474FB" w:rsidRDefault="00BC6352" w:rsidP="00971EB7">
            <w:pPr>
              <w:rPr>
                <w:rFonts w:ascii="Calibri" w:hAnsi="Calibri"/>
                <w:b/>
              </w:rPr>
            </w:pPr>
            <w:r>
              <w:rPr>
                <w:rFonts w:ascii="Calibri" w:hAnsi="Calibri"/>
                <w:b/>
              </w:rPr>
              <w:t>Developed by – Title:</w:t>
            </w:r>
          </w:p>
        </w:tc>
        <w:tc>
          <w:tcPr>
            <w:tcW w:w="6635" w:type="dxa"/>
            <w:gridSpan w:val="3"/>
            <w:vAlign w:val="center"/>
          </w:tcPr>
          <w:p w14:paraId="662C6AFF" w14:textId="77777777" w:rsidR="00BC6352" w:rsidRDefault="00BC6352" w:rsidP="00971EB7">
            <w:pPr>
              <w:rPr>
                <w:rFonts w:ascii="Calibri" w:hAnsi="Calibri"/>
                <w:b/>
              </w:rPr>
            </w:pPr>
          </w:p>
        </w:tc>
      </w:tr>
      <w:tr w:rsidR="00BC6352" w:rsidRPr="00D474FB" w14:paraId="36D171B7" w14:textId="77777777" w:rsidTr="00971EB7">
        <w:trPr>
          <w:trHeight w:val="283"/>
        </w:trPr>
        <w:tc>
          <w:tcPr>
            <w:tcW w:w="2405" w:type="dxa"/>
            <w:vAlign w:val="center"/>
          </w:tcPr>
          <w:p w14:paraId="2AB71DC9" w14:textId="77777777" w:rsidR="00BC6352" w:rsidRDefault="00BC6352" w:rsidP="00971EB7">
            <w:pPr>
              <w:rPr>
                <w:rFonts w:ascii="Calibri" w:hAnsi="Calibri"/>
                <w:b/>
              </w:rPr>
            </w:pPr>
            <w:r>
              <w:rPr>
                <w:rFonts w:ascii="Calibri" w:hAnsi="Calibri"/>
                <w:b/>
              </w:rPr>
              <w:t>Date of Next Review:</w:t>
            </w:r>
          </w:p>
        </w:tc>
        <w:tc>
          <w:tcPr>
            <w:tcW w:w="6635" w:type="dxa"/>
            <w:gridSpan w:val="3"/>
            <w:vAlign w:val="center"/>
          </w:tcPr>
          <w:p w14:paraId="4DFE7B6A" w14:textId="77777777" w:rsidR="00BC6352" w:rsidRDefault="00BC6352" w:rsidP="00971EB7">
            <w:pPr>
              <w:rPr>
                <w:rFonts w:ascii="Calibri" w:hAnsi="Calibri"/>
                <w:b/>
              </w:rPr>
            </w:pPr>
          </w:p>
        </w:tc>
      </w:tr>
    </w:tbl>
    <w:p w14:paraId="7F1C0C6F" w14:textId="54634733" w:rsidR="00240DB8" w:rsidRPr="003C2071" w:rsidRDefault="00240DB8" w:rsidP="004A54B4">
      <w:pPr>
        <w:rPr>
          <w:rFonts w:ascii="Calibri" w:hAnsi="Calibri"/>
        </w:rPr>
      </w:pPr>
    </w:p>
    <w:p w14:paraId="7F1C0C72" w14:textId="77777777" w:rsidR="00240DB8" w:rsidRPr="00240DB8" w:rsidRDefault="00240DB8" w:rsidP="00240DB8">
      <w:pPr>
        <w:rPr>
          <w:rFonts w:ascii="Calibri" w:hAnsi="Calibri"/>
          <w:b/>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53B19D99" w:rsidR="0059103F" w:rsidRDefault="00CA77AE"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BC6352">
            <w:rPr>
              <w:rFonts w:ascii="Tahoma" w:hAnsi="Tahoma" w:cs="Tahoma"/>
              <w:noProof/>
              <w:color w:val="002060"/>
              <w:sz w:val="14"/>
              <w:szCs w:val="14"/>
            </w:rPr>
            <w:t>Pharmacy Technician T</w:t>
          </w:r>
          <w:r>
            <w:rPr>
              <w:rFonts w:ascii="Tahoma" w:hAnsi="Tahoma" w:cs="Tahoma"/>
              <w:color w:val="002060"/>
              <w:sz w:val="14"/>
              <w:szCs w:val="14"/>
            </w:rPr>
            <w:fldChar w:fldCharType="end"/>
          </w:r>
          <w:proofErr w:type="spellStart"/>
          <w:r w:rsidR="00BC6352">
            <w:rPr>
              <w:rFonts w:ascii="Tahoma" w:hAnsi="Tahoma" w:cs="Tahoma"/>
              <w:color w:val="002060"/>
              <w:sz w:val="14"/>
              <w:szCs w:val="14"/>
            </w:rPr>
            <w:t>rainee</w:t>
          </w:r>
          <w:proofErr w:type="spellEnd"/>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5F030DE0"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2E790A">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2E790A">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1D5FE93"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889"/>
    <w:multiLevelType w:val="multilevel"/>
    <w:tmpl w:val="879010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496C39"/>
    <w:multiLevelType w:val="hybridMultilevel"/>
    <w:tmpl w:val="4914D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E22EB"/>
    <w:multiLevelType w:val="hybridMultilevel"/>
    <w:tmpl w:val="AED2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70D90"/>
    <w:multiLevelType w:val="hybridMultilevel"/>
    <w:tmpl w:val="FCCA5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387308"/>
    <w:multiLevelType w:val="hybridMultilevel"/>
    <w:tmpl w:val="01C2BE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0B3CA4"/>
    <w:multiLevelType w:val="hybridMultilevel"/>
    <w:tmpl w:val="77E8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972EAB"/>
    <w:multiLevelType w:val="multilevel"/>
    <w:tmpl w:val="879010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E634CF"/>
    <w:multiLevelType w:val="hybridMultilevel"/>
    <w:tmpl w:val="3AECE6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637932"/>
    <w:multiLevelType w:val="multilevel"/>
    <w:tmpl w:val="879010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9"/>
  </w:num>
  <w:num w:numId="8">
    <w:abstractNumId w:val="5"/>
  </w:num>
  <w:num w:numId="9">
    <w:abstractNumId w:val="4"/>
  </w:num>
  <w:num w:numId="10">
    <w:abstractNumId w:val="7"/>
  </w:num>
  <w:num w:numId="11">
    <w:abstractNumId w:val="3"/>
  </w:num>
  <w:num w:numId="12">
    <w:abstractNumId w:val="14"/>
  </w:num>
  <w:num w:numId="13">
    <w:abstractNumId w:val="10"/>
  </w:num>
  <w:num w:numId="14">
    <w:abstractNumId w:val="0"/>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02820"/>
    <w:rsid w:val="000171C4"/>
    <w:rsid w:val="000756EF"/>
    <w:rsid w:val="00082A59"/>
    <w:rsid w:val="000A3F7D"/>
    <w:rsid w:val="0012484E"/>
    <w:rsid w:val="00140799"/>
    <w:rsid w:val="00167B03"/>
    <w:rsid w:val="001B125D"/>
    <w:rsid w:val="001B1CA2"/>
    <w:rsid w:val="001E5E1D"/>
    <w:rsid w:val="0020082B"/>
    <w:rsid w:val="00240DB8"/>
    <w:rsid w:val="00262A6B"/>
    <w:rsid w:val="002851A6"/>
    <w:rsid w:val="002A7BF1"/>
    <w:rsid w:val="002B48F0"/>
    <w:rsid w:val="002E4599"/>
    <w:rsid w:val="002E790A"/>
    <w:rsid w:val="003B050C"/>
    <w:rsid w:val="003B5B62"/>
    <w:rsid w:val="003C2071"/>
    <w:rsid w:val="003E7193"/>
    <w:rsid w:val="0045394E"/>
    <w:rsid w:val="004A54B4"/>
    <w:rsid w:val="004D156E"/>
    <w:rsid w:val="004F4FBB"/>
    <w:rsid w:val="0059103F"/>
    <w:rsid w:val="005E6FEF"/>
    <w:rsid w:val="00632316"/>
    <w:rsid w:val="00637C87"/>
    <w:rsid w:val="0067123D"/>
    <w:rsid w:val="006D63C3"/>
    <w:rsid w:val="00766150"/>
    <w:rsid w:val="007961F0"/>
    <w:rsid w:val="007C29E1"/>
    <w:rsid w:val="0080280F"/>
    <w:rsid w:val="00831C67"/>
    <w:rsid w:val="00836A95"/>
    <w:rsid w:val="00877EE8"/>
    <w:rsid w:val="00910F70"/>
    <w:rsid w:val="009636A7"/>
    <w:rsid w:val="00994AD9"/>
    <w:rsid w:val="009D40D6"/>
    <w:rsid w:val="00A02D0D"/>
    <w:rsid w:val="00AC6A9E"/>
    <w:rsid w:val="00B5709E"/>
    <w:rsid w:val="00B64BF6"/>
    <w:rsid w:val="00BA0FDA"/>
    <w:rsid w:val="00BC6352"/>
    <w:rsid w:val="00C0703A"/>
    <w:rsid w:val="00C1332B"/>
    <w:rsid w:val="00C45AB5"/>
    <w:rsid w:val="00C87C46"/>
    <w:rsid w:val="00CA77AE"/>
    <w:rsid w:val="00CC027F"/>
    <w:rsid w:val="00CC79B0"/>
    <w:rsid w:val="00CE4068"/>
    <w:rsid w:val="00CF2AF2"/>
    <w:rsid w:val="00D05CDB"/>
    <w:rsid w:val="00D074F0"/>
    <w:rsid w:val="00D761C1"/>
    <w:rsid w:val="00DB4E73"/>
    <w:rsid w:val="00DC5D07"/>
    <w:rsid w:val="00DD3607"/>
    <w:rsid w:val="00DE3EA0"/>
    <w:rsid w:val="00E1009F"/>
    <w:rsid w:val="00E17702"/>
    <w:rsid w:val="00E21A9D"/>
    <w:rsid w:val="00E31BB5"/>
    <w:rsid w:val="00E47C02"/>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uiPriority w:val="39"/>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B6CC9A8-FD69-4E21-823E-BF17248F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2017-08-08T03:40:00Z</cp:lastPrinted>
  <dcterms:created xsi:type="dcterms:W3CDTF">2023-05-25T23:49:00Z</dcterms:created>
  <dcterms:modified xsi:type="dcterms:W3CDTF">2023-05-25T23:59:00Z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