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39722F12" w:rsidR="0059103F" w:rsidRPr="00240DB8" w:rsidRDefault="00196DA9" w:rsidP="00A7561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Human Resources </w:t>
            </w:r>
            <w:r w:rsidR="00A75616">
              <w:rPr>
                <w:rFonts w:ascii="Calibri" w:hAnsi="Calibri" w:cs="Calibri"/>
                <w:sz w:val="22"/>
                <w:szCs w:val="22"/>
              </w:rPr>
              <w:t xml:space="preserve">Officer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48CB2977" w:rsidR="0059103F" w:rsidRPr="004F3CF2" w:rsidRDefault="004F3CF2" w:rsidP="004F3CF2">
            <w:pPr>
              <w:rPr>
                <w:rFonts w:ascii="Calibri" w:hAnsi="Calibri"/>
                <w:color w:val="000000"/>
              </w:rPr>
            </w:pPr>
            <w:r>
              <w:rPr>
                <w:rFonts w:ascii="Calibri" w:hAnsi="Calibri"/>
                <w:color w:val="000000"/>
                <w:sz w:val="22"/>
                <w:szCs w:val="22"/>
              </w:rPr>
              <w:t>N5756</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29DD9BB4" w:rsidR="0059103F" w:rsidRPr="00240DB8" w:rsidRDefault="00196D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Executive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3A638396" w:rsidR="0059103F" w:rsidRPr="00240DB8" w:rsidRDefault="00A75616" w:rsidP="002C148E">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Administration Grade</w:t>
            </w:r>
            <w:r w:rsidR="002C148E">
              <w:rPr>
                <w:rFonts w:ascii="Calibri" w:hAnsi="Calibri" w:cs="Calibri"/>
                <w:sz w:val="22"/>
                <w:szCs w:val="22"/>
              </w:rPr>
              <w:t xml:space="preserve"> 3</w:t>
            </w:r>
            <w:r>
              <w:rPr>
                <w:rFonts w:ascii="Calibri" w:hAnsi="Calibri" w:cs="Calibri"/>
                <w:sz w:val="22"/>
                <w:szCs w:val="22"/>
              </w:rPr>
              <w:t xml:space="preserve"> – HS</w:t>
            </w:r>
            <w:r w:rsidR="002C148E">
              <w:rPr>
                <w:rFonts w:ascii="Calibri" w:hAnsi="Calibri" w:cs="Calibri"/>
                <w:sz w:val="22"/>
                <w:szCs w:val="22"/>
              </w:rPr>
              <w:t>3</w:t>
            </w:r>
            <w:r>
              <w:rPr>
                <w:rFonts w:ascii="Calibri" w:hAnsi="Calibri" w:cs="Calibri"/>
                <w:sz w:val="22"/>
                <w:szCs w:val="22"/>
              </w:rPr>
              <w:t xml:space="preserve">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3DF0334" w:rsidR="0059103F" w:rsidRPr="00240DB8" w:rsidRDefault="00FD5A6B" w:rsidP="00D05750">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196DA9" w:rsidRPr="00D05750">
                  <w:rPr>
                    <w:rFonts w:ascii="Calibri" w:hAnsi="Calibri" w:cs="Calibri"/>
                    <w:sz w:val="22"/>
                  </w:rPr>
                  <w:t>Victorian Public Health Sector (Health and Allied Services, Managers and Administrative workers) Single Interest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364199E0" w:rsidR="0059103F" w:rsidRPr="00240DB8" w:rsidRDefault="00A756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Human Resource</w:t>
            </w:r>
            <w:r w:rsidR="004F3CF2">
              <w:rPr>
                <w:rFonts w:ascii="Calibri" w:hAnsi="Calibri" w:cs="Calibri"/>
                <w:sz w:val="22"/>
                <w:szCs w:val="22"/>
              </w:rPr>
              <w:t>s</w:t>
            </w:r>
            <w:r>
              <w:rPr>
                <w:rFonts w:ascii="Calibri" w:hAnsi="Calibri" w:cs="Calibri"/>
                <w:sz w:val="22"/>
                <w:szCs w:val="22"/>
              </w:rPr>
              <w:t xml:space="preserve"> Manager </w:t>
            </w:r>
            <w:r w:rsidR="00196DA9">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B5FD7A2" w14:textId="36307C97" w:rsidR="00196DA9" w:rsidRPr="00196DA9" w:rsidRDefault="00196DA9" w:rsidP="007C29E1">
      <w:pPr>
        <w:rPr>
          <w:rFonts w:ascii="Calibri" w:hAnsi="Calibri"/>
        </w:rPr>
      </w:pPr>
      <w:r>
        <w:rPr>
          <w:rFonts w:ascii="Calibri" w:hAnsi="Calibri"/>
        </w:rPr>
        <w:t xml:space="preserve">The Human Resources </w:t>
      </w:r>
      <w:r w:rsidR="003B2ADB">
        <w:rPr>
          <w:rFonts w:ascii="Calibri" w:hAnsi="Calibri"/>
        </w:rPr>
        <w:t>Officer</w:t>
      </w:r>
      <w:r w:rsidR="002B63EC">
        <w:rPr>
          <w:rFonts w:ascii="Calibri" w:hAnsi="Calibri"/>
        </w:rPr>
        <w:t xml:space="preserve"> (HRO)</w:t>
      </w:r>
      <w:r>
        <w:rPr>
          <w:rFonts w:ascii="Calibri" w:hAnsi="Calibri"/>
        </w:rPr>
        <w:t xml:space="preserve"> works across all levels of the organisation, providing an informed professional and efficient service </w:t>
      </w:r>
      <w:r w:rsidR="00FD5A6B">
        <w:rPr>
          <w:rFonts w:ascii="Calibri" w:hAnsi="Calibri"/>
        </w:rPr>
        <w:t>i</w:t>
      </w:r>
      <w:r w:rsidR="00C078F5">
        <w:rPr>
          <w:rFonts w:ascii="Calibri" w:hAnsi="Calibri"/>
        </w:rPr>
        <w:t>n</w:t>
      </w:r>
      <w:r w:rsidR="00FD5A6B">
        <w:rPr>
          <w:rFonts w:ascii="Calibri" w:hAnsi="Calibri"/>
        </w:rPr>
        <w:t xml:space="preserve"> human resource management</w:t>
      </w:r>
      <w:r w:rsidR="003B2ADB">
        <w:rPr>
          <w:rFonts w:ascii="Calibri" w:hAnsi="Calibri"/>
        </w:rPr>
        <w:t>.</w:t>
      </w:r>
      <w:r w:rsidR="00C57297">
        <w:rPr>
          <w:rFonts w:ascii="Calibri" w:hAnsi="Calibri"/>
        </w:rPr>
        <w:t xml:space="preserve"> The HRO will coordinate</w:t>
      </w:r>
      <w:r w:rsidR="00FD5A6B">
        <w:rPr>
          <w:rFonts w:ascii="Calibri" w:hAnsi="Calibri"/>
        </w:rPr>
        <w:t xml:space="preserve"> </w:t>
      </w:r>
      <w:r>
        <w:rPr>
          <w:rFonts w:ascii="Calibri" w:hAnsi="Calibri"/>
        </w:rPr>
        <w:t xml:space="preserve">WorkCover, Employee Relations, Recruitment, </w:t>
      </w:r>
      <w:r w:rsidR="00FD5A6B">
        <w:rPr>
          <w:rFonts w:ascii="Calibri" w:hAnsi="Calibri"/>
        </w:rPr>
        <w:t>and participate in</w:t>
      </w:r>
      <w:r>
        <w:rPr>
          <w:rFonts w:ascii="Calibri" w:hAnsi="Calibri"/>
        </w:rPr>
        <w:t xml:space="preserve"> Industrial relations and Performance Management</w:t>
      </w:r>
      <w:r w:rsidR="00FD5A6B">
        <w:rPr>
          <w:rFonts w:ascii="Calibri" w:hAnsi="Calibri"/>
        </w:rPr>
        <w:t xml:space="preserve"> issues</w:t>
      </w:r>
      <w:bookmarkStart w:id="0" w:name="_GoBack"/>
      <w:bookmarkEnd w:id="0"/>
      <w:r>
        <w:rPr>
          <w:rFonts w:ascii="Calibri" w:hAnsi="Calibri"/>
        </w:rPr>
        <w:t xml:space="preserve">. </w:t>
      </w:r>
    </w:p>
    <w:p w14:paraId="7F1C0BFE" w14:textId="77777777" w:rsidR="007C29E1" w:rsidRPr="00240DB8" w:rsidRDefault="007C29E1"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6D8D170E" w14:textId="77777777" w:rsidR="00196DA9" w:rsidRDefault="00196DA9" w:rsidP="00196DA9">
      <w:r w:rsidRPr="006B4E71">
        <w:t xml:space="preserve">The role of EGHS executive services is </w:t>
      </w:r>
      <w:r>
        <w:t>to implement</w:t>
      </w:r>
      <w:r w:rsidRPr="006B4E71">
        <w:t xml:space="preserve"> organisational strategic direction. In addition to our Chief Executive Officer, executive services consist of several specialist areas including Quality Assurance, Development and Improvement, Human Resources, Payroll, Community liaison and </w:t>
      </w:r>
      <w:proofErr w:type="gramStart"/>
      <w:r w:rsidRPr="006B4E71">
        <w:t>Financial</w:t>
      </w:r>
      <w:proofErr w:type="gramEnd"/>
      <w:r w:rsidRPr="006B4E71">
        <w:t xml:space="preserve"> services.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54E8F5AF" w14:textId="77777777" w:rsidR="002B63EC" w:rsidRDefault="002B63EC" w:rsidP="002B63EC">
      <w:r>
        <w:rPr>
          <w:b/>
          <w:bCs/>
        </w:rPr>
        <w:t>Our Strategic direction</w:t>
      </w:r>
    </w:p>
    <w:p w14:paraId="082620EE" w14:textId="77777777" w:rsidR="002B63EC" w:rsidRDefault="002B63EC" w:rsidP="002B63EC">
      <w:pPr>
        <w:overflowPunct w:val="0"/>
        <w:autoSpaceDE w:val="0"/>
        <w:autoSpaceDN w:val="0"/>
        <w:rPr>
          <w:b/>
          <w:bCs/>
        </w:rPr>
      </w:pPr>
    </w:p>
    <w:p w14:paraId="39CA0295" w14:textId="77777777" w:rsidR="002B63EC" w:rsidRDefault="002B63EC" w:rsidP="002B63EC">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15D1E9D8" w14:textId="77777777" w:rsidR="002B63EC" w:rsidRDefault="002B63EC" w:rsidP="002B63EC">
      <w:pPr>
        <w:pStyle w:val="BodyText2"/>
        <w:jc w:val="both"/>
        <w:rPr>
          <w:rFonts w:ascii="Calibri" w:hAnsi="Calibri"/>
          <w:sz w:val="22"/>
          <w:szCs w:val="22"/>
        </w:rPr>
      </w:pPr>
    </w:p>
    <w:p w14:paraId="3104C389" w14:textId="77777777" w:rsidR="002B63EC" w:rsidRDefault="002B63EC" w:rsidP="002B63EC">
      <w:pPr>
        <w:pStyle w:val="BodyText2"/>
        <w:jc w:val="both"/>
        <w:rPr>
          <w:rFonts w:ascii="Calibri" w:hAnsi="Calibri"/>
          <w:b/>
          <w:bCs/>
          <w:color w:val="92D050"/>
          <w:sz w:val="22"/>
          <w:szCs w:val="22"/>
        </w:rPr>
      </w:pPr>
      <w:r>
        <w:rPr>
          <w:rFonts w:ascii="Calibri" w:hAnsi="Calibri"/>
          <w:b/>
          <w:bCs/>
          <w:color w:val="92D050"/>
          <w:sz w:val="22"/>
          <w:szCs w:val="22"/>
        </w:rPr>
        <w:t>BETTER HEALTH</w:t>
      </w:r>
    </w:p>
    <w:p w14:paraId="1ECE1DDD"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645C5883"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5BC8064"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6B965E42" w14:textId="77777777" w:rsidR="002B63EC" w:rsidRPr="00887F05"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02AAF354" w14:textId="77777777" w:rsidR="002B63EC" w:rsidRDefault="002B63EC" w:rsidP="002B63EC">
      <w:pPr>
        <w:pStyle w:val="BodyText2"/>
        <w:jc w:val="both"/>
        <w:rPr>
          <w:rFonts w:ascii="Calibri" w:hAnsi="Calibri"/>
          <w:b/>
          <w:bCs/>
          <w:color w:val="FFC000"/>
          <w:sz w:val="22"/>
          <w:szCs w:val="22"/>
        </w:rPr>
      </w:pPr>
      <w:r>
        <w:rPr>
          <w:rFonts w:ascii="Calibri" w:hAnsi="Calibri"/>
          <w:b/>
          <w:bCs/>
          <w:color w:val="FFC000"/>
          <w:sz w:val="22"/>
          <w:szCs w:val="22"/>
        </w:rPr>
        <w:t>BETTER ACCESS</w:t>
      </w:r>
    </w:p>
    <w:p w14:paraId="73459FF9"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51171815"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E03BB83"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703D8148" w14:textId="77777777" w:rsidR="002B63EC" w:rsidRPr="00887F05"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02958831" w14:textId="77777777" w:rsidR="002B63EC" w:rsidRDefault="002B63EC" w:rsidP="002B63EC">
      <w:pPr>
        <w:pStyle w:val="BodyText2"/>
        <w:jc w:val="both"/>
        <w:rPr>
          <w:rFonts w:ascii="Calibri" w:hAnsi="Calibri"/>
          <w:b/>
          <w:bCs/>
          <w:color w:val="FF0000"/>
          <w:sz w:val="22"/>
          <w:szCs w:val="22"/>
        </w:rPr>
      </w:pPr>
      <w:r>
        <w:rPr>
          <w:rFonts w:ascii="Calibri" w:hAnsi="Calibri"/>
          <w:b/>
          <w:bCs/>
          <w:color w:val="FF0000"/>
          <w:sz w:val="22"/>
          <w:szCs w:val="22"/>
        </w:rPr>
        <w:t>BETTER CARE</w:t>
      </w:r>
    </w:p>
    <w:p w14:paraId="3D967BF8"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511EAD77"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0F18CF1"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6DB8C3CD"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FD5A6B"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FD5A6B"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FD5A6B"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FD5A6B"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FD5A6B"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FD5A6B"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FD5A6B"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FD5A6B"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222CAD8C" w:rsidR="009636A7" w:rsidRPr="00240DB8" w:rsidRDefault="009636A7" w:rsidP="00E1009F">
      <w:pPr>
        <w:numPr>
          <w:ilvl w:val="0"/>
          <w:numId w:val="1"/>
        </w:numPr>
        <w:jc w:val="both"/>
        <w:rPr>
          <w:rFonts w:ascii="Calibri" w:hAnsi="Calibri"/>
        </w:rPr>
      </w:pPr>
      <w:r w:rsidRPr="00240DB8">
        <w:rPr>
          <w:rFonts w:ascii="Calibri" w:hAnsi="Calibri"/>
        </w:rPr>
        <w:t xml:space="preserve">Be respectful of the needs of patients, visitors and other staff and maintain a professional approach in all interactions, creating </w:t>
      </w:r>
      <w:r w:rsidR="00C078F5">
        <w:rPr>
          <w:rFonts w:ascii="Calibri" w:hAnsi="Calibri"/>
        </w:rPr>
        <w:t>positive</w:t>
      </w:r>
      <w:r w:rsidRPr="00240DB8">
        <w:rPr>
          <w:rFonts w:ascii="Calibri" w:hAnsi="Calibri"/>
        </w:rPr>
        <w:t xml:space="preserve">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lastRenderedPageBreak/>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2906E284" w14:textId="498BBB96" w:rsidR="002B63EC" w:rsidRPr="001D7A89" w:rsidRDefault="001D7A89" w:rsidP="005B5F4F">
      <w:pPr>
        <w:pStyle w:val="ListParagraph"/>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1D7A89">
        <w:rPr>
          <w:rFonts w:eastAsia="Times New Roman" w:cs="Times New Roman"/>
          <w:szCs w:val="20"/>
          <w:lang w:val="en-US" w:eastAsia="en-AU"/>
        </w:rPr>
        <w:t xml:space="preserve">Coordinating vacancy management </w:t>
      </w:r>
      <w:r w:rsidR="002B63EC" w:rsidRPr="001D7A89">
        <w:rPr>
          <w:rFonts w:eastAsia="Times New Roman" w:cs="Times New Roman"/>
          <w:szCs w:val="20"/>
          <w:lang w:val="en-US" w:eastAsia="en-AU"/>
        </w:rPr>
        <w:t>in the recruitment of new employees including liaising with external recruitment agencies</w:t>
      </w:r>
      <w:r w:rsidRPr="001D7A89">
        <w:rPr>
          <w:rFonts w:eastAsia="Times New Roman" w:cs="Times New Roman"/>
          <w:szCs w:val="20"/>
          <w:lang w:val="en-US" w:eastAsia="en-AU"/>
        </w:rPr>
        <w:t xml:space="preserve"> </w:t>
      </w:r>
      <w:r w:rsidRPr="001D7A89">
        <w:rPr>
          <w:rFonts w:ascii="Calibri" w:hAnsi="Calibri"/>
        </w:rPr>
        <w:t>ensuring all selections are fair and equitable</w:t>
      </w:r>
    </w:p>
    <w:p w14:paraId="57A4C08C" w14:textId="77777777" w:rsidR="001D7A89" w:rsidRDefault="001D7A89" w:rsidP="001D7A89">
      <w:pPr>
        <w:pStyle w:val="ListParagraph"/>
        <w:numPr>
          <w:ilvl w:val="0"/>
          <w:numId w:val="11"/>
        </w:numPr>
        <w:rPr>
          <w:rFonts w:ascii="Calibri" w:hAnsi="Calibri"/>
        </w:rPr>
      </w:pPr>
      <w:r>
        <w:rPr>
          <w:rFonts w:ascii="Calibri" w:hAnsi="Calibri"/>
        </w:rPr>
        <w:t xml:space="preserve">Participate in end-to-end workforce planning including forecasting needs, job design and evaluation, recruitment and selection processes, on-boarding new employees, coaching and liaising with department managers </w:t>
      </w:r>
    </w:p>
    <w:p w14:paraId="667B9FA3" w14:textId="469450BA" w:rsidR="001D7A89" w:rsidRPr="004B2911" w:rsidRDefault="001D7A89" w:rsidP="001D7A89">
      <w:pPr>
        <w:pStyle w:val="ListParagraph"/>
        <w:numPr>
          <w:ilvl w:val="0"/>
          <w:numId w:val="11"/>
        </w:numPr>
        <w:rPr>
          <w:rFonts w:ascii="Calibri" w:hAnsi="Calibri"/>
        </w:rPr>
      </w:pPr>
      <w:r>
        <w:t>Participate in the overall on-boarding experience of new employees, which is seamless and professional, collaborating with internal stakeholders</w:t>
      </w:r>
    </w:p>
    <w:p w14:paraId="06273B90" w14:textId="0BE10538" w:rsidR="004B2911" w:rsidRDefault="004B2911" w:rsidP="004B2911">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 xml:space="preserve">Co-ordination of WorkCover </w:t>
      </w:r>
      <w:r>
        <w:rPr>
          <w:rFonts w:eastAsia="Times New Roman" w:cs="Times New Roman"/>
          <w:szCs w:val="20"/>
          <w:lang w:val="en-US" w:eastAsia="en-AU"/>
        </w:rPr>
        <w:t>and TAC claims</w:t>
      </w:r>
      <w:r w:rsidR="00A428F3">
        <w:rPr>
          <w:rFonts w:eastAsia="Times New Roman" w:cs="Times New Roman"/>
          <w:szCs w:val="20"/>
          <w:lang w:val="en-US" w:eastAsia="en-AU"/>
        </w:rPr>
        <w:t xml:space="preserve"> including injury management, </w:t>
      </w:r>
      <w:r w:rsidRPr="002B63EC">
        <w:rPr>
          <w:rFonts w:eastAsia="Times New Roman" w:cs="Times New Roman"/>
          <w:szCs w:val="20"/>
          <w:lang w:val="en-US" w:eastAsia="en-AU"/>
        </w:rPr>
        <w:t xml:space="preserve">claim coordination </w:t>
      </w:r>
      <w:r w:rsidR="00A428F3">
        <w:rPr>
          <w:rFonts w:eastAsia="Times New Roman" w:cs="Times New Roman"/>
          <w:szCs w:val="20"/>
          <w:lang w:val="en-US" w:eastAsia="en-AU"/>
        </w:rPr>
        <w:t xml:space="preserve">and Return To Work </w:t>
      </w:r>
      <w:r w:rsidRPr="002B63EC">
        <w:rPr>
          <w:rFonts w:eastAsia="Times New Roman" w:cs="Times New Roman"/>
          <w:szCs w:val="20"/>
          <w:lang w:val="en-US" w:eastAsia="en-AU"/>
        </w:rPr>
        <w:t>with the employee, insurer and EGHS management</w:t>
      </w:r>
    </w:p>
    <w:p w14:paraId="42E9D6BF" w14:textId="793A09CA" w:rsidR="004B2911" w:rsidRPr="004B2911" w:rsidRDefault="004B2911" w:rsidP="004B2911">
      <w:pPr>
        <w:pStyle w:val="ListParagraph"/>
        <w:numPr>
          <w:ilvl w:val="0"/>
          <w:numId w:val="11"/>
        </w:numPr>
        <w:rPr>
          <w:rFonts w:ascii="Calibri" w:hAnsi="Calibri"/>
        </w:rPr>
      </w:pPr>
      <w:r>
        <w:rPr>
          <w:rFonts w:ascii="Calibri" w:hAnsi="Calibri"/>
        </w:rPr>
        <w:t xml:space="preserve">Oversee occupational Health and Safety matters including Worksafe and injury management to ensure a safe and supported environment </w:t>
      </w:r>
    </w:p>
    <w:p w14:paraId="082CA70A"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Co-ordination of Careers programs including work experience and traineeships</w:t>
      </w:r>
    </w:p>
    <w:p w14:paraId="3410F03E"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Working with managers and employees through Performance Management procedures</w:t>
      </w:r>
    </w:p>
    <w:p w14:paraId="08DD4A8D"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Assisting with the implementation and ongoing compliance of relevant Enterprise Bargaining Agreements</w:t>
      </w:r>
    </w:p>
    <w:p w14:paraId="73485CA5" w14:textId="0D3FD583" w:rsidR="009E0663" w:rsidRDefault="009E0663" w:rsidP="009E0663">
      <w:pPr>
        <w:pStyle w:val="ListParagraph"/>
        <w:numPr>
          <w:ilvl w:val="0"/>
          <w:numId w:val="11"/>
        </w:numPr>
        <w:rPr>
          <w:rFonts w:ascii="Calibri" w:hAnsi="Calibri"/>
        </w:rPr>
      </w:pPr>
      <w:r w:rsidRPr="002B63EC">
        <w:rPr>
          <w:rFonts w:ascii="Calibri" w:hAnsi="Calibri"/>
        </w:rPr>
        <w:t xml:space="preserve">Ensure that all staff </w:t>
      </w:r>
      <w:r>
        <w:rPr>
          <w:rFonts w:ascii="Calibri" w:hAnsi="Calibri"/>
        </w:rPr>
        <w:t xml:space="preserve">are working within current </w:t>
      </w:r>
      <w:r w:rsidR="00C473E2">
        <w:rPr>
          <w:rFonts w:ascii="Calibri" w:hAnsi="Calibri"/>
        </w:rPr>
        <w:t>Enterprise Bargaining Agreements</w:t>
      </w:r>
    </w:p>
    <w:p w14:paraId="684B5CAF" w14:textId="1B507D0F" w:rsidR="00A75616" w:rsidRDefault="00A75616" w:rsidP="00942507">
      <w:pPr>
        <w:pStyle w:val="ListParagraph"/>
        <w:numPr>
          <w:ilvl w:val="0"/>
          <w:numId w:val="11"/>
        </w:numPr>
        <w:rPr>
          <w:rFonts w:ascii="Calibri" w:hAnsi="Calibri"/>
        </w:rPr>
      </w:pPr>
      <w:r>
        <w:rPr>
          <w:rFonts w:ascii="Calibri" w:hAnsi="Calibri"/>
        </w:rPr>
        <w:t xml:space="preserve">Support the development and implementation of quality improvement activities </w:t>
      </w:r>
    </w:p>
    <w:p w14:paraId="6FB75AAE" w14:textId="77777777" w:rsidR="00A75616" w:rsidRPr="00E25B46" w:rsidRDefault="00A75616" w:rsidP="00A75616">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i/>
        </w:rPr>
      </w:pPr>
      <w:r w:rsidRPr="00E25B46">
        <w:rPr>
          <w:rFonts w:ascii="Calibri" w:hAnsi="Calibri" w:cs="Calibri"/>
        </w:rPr>
        <w:t>Ensure that EGHS HR Policy and Procedures meet legislative requirements.</w:t>
      </w:r>
    </w:p>
    <w:p w14:paraId="4E6A0602" w14:textId="62E5EFA4" w:rsidR="009E0663" w:rsidRPr="00240DB8" w:rsidRDefault="009E0663" w:rsidP="00DE3EA0">
      <w:pPr>
        <w:rPr>
          <w:rFonts w:ascii="Calibri" w:hAnsi="Calibri"/>
          <w:color w:val="FF0000"/>
        </w:rPr>
      </w:pPr>
    </w:p>
    <w:p w14:paraId="5D4563E4" w14:textId="77777777" w:rsidR="009E0663" w:rsidRPr="00240DB8" w:rsidRDefault="009E0663">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7F1C0C68" w14:textId="678007EB" w:rsidR="00D761C1" w:rsidRDefault="002C148E" w:rsidP="00196DA9">
      <w:pPr>
        <w:pStyle w:val="ListParagraph"/>
        <w:numPr>
          <w:ilvl w:val="0"/>
          <w:numId w:val="9"/>
        </w:numPr>
        <w:rPr>
          <w:rFonts w:ascii="Calibri" w:hAnsi="Calibri"/>
        </w:rPr>
      </w:pPr>
      <w:r>
        <w:rPr>
          <w:rFonts w:ascii="Calibri" w:hAnsi="Calibri"/>
        </w:rPr>
        <w:t>Certificate IV or Diploma qualifications</w:t>
      </w:r>
      <w:r w:rsidR="00196DA9">
        <w:rPr>
          <w:rFonts w:ascii="Calibri" w:hAnsi="Calibri"/>
        </w:rPr>
        <w:t xml:space="preserve"> in Human Resource Management </w:t>
      </w:r>
      <w:r w:rsidR="00A75616">
        <w:rPr>
          <w:rFonts w:ascii="Calibri" w:hAnsi="Calibri"/>
        </w:rPr>
        <w:t>(</w:t>
      </w:r>
      <w:r>
        <w:rPr>
          <w:rFonts w:ascii="Calibri" w:hAnsi="Calibri"/>
        </w:rPr>
        <w:t>as a minimum</w:t>
      </w:r>
      <w:r w:rsidR="00A75616">
        <w:rPr>
          <w:rFonts w:ascii="Calibri" w:hAnsi="Calibri"/>
        </w:rPr>
        <w:t xml:space="preserve">) </w:t>
      </w:r>
    </w:p>
    <w:p w14:paraId="6A7868BD" w14:textId="55926C9A" w:rsidR="002C148E" w:rsidRDefault="002C148E" w:rsidP="00196DA9">
      <w:pPr>
        <w:pStyle w:val="ListParagraph"/>
        <w:numPr>
          <w:ilvl w:val="0"/>
          <w:numId w:val="9"/>
        </w:numPr>
        <w:rPr>
          <w:rFonts w:ascii="Calibri" w:hAnsi="Calibri"/>
        </w:rPr>
      </w:pPr>
      <w:r>
        <w:rPr>
          <w:rFonts w:ascii="Calibri" w:hAnsi="Calibri"/>
        </w:rPr>
        <w:t xml:space="preserve">Completion of </w:t>
      </w:r>
      <w:proofErr w:type="spellStart"/>
      <w:r>
        <w:rPr>
          <w:rFonts w:ascii="Calibri" w:hAnsi="Calibri"/>
        </w:rPr>
        <w:t>WorkSafe</w:t>
      </w:r>
      <w:proofErr w:type="spellEnd"/>
      <w:r>
        <w:rPr>
          <w:rFonts w:ascii="Calibri" w:hAnsi="Calibri"/>
        </w:rPr>
        <w:t xml:space="preserve"> endorsed Return to Work Coordinator training</w:t>
      </w:r>
    </w:p>
    <w:p w14:paraId="2F9E6E80" w14:textId="72395EFF" w:rsidR="00196DA9" w:rsidRDefault="00196DA9" w:rsidP="00196DA9">
      <w:pPr>
        <w:pStyle w:val="ListParagraph"/>
        <w:numPr>
          <w:ilvl w:val="0"/>
          <w:numId w:val="9"/>
        </w:numPr>
        <w:rPr>
          <w:rFonts w:ascii="Calibri" w:hAnsi="Calibri"/>
        </w:rPr>
      </w:pPr>
      <w:r>
        <w:rPr>
          <w:rFonts w:ascii="Calibri" w:hAnsi="Calibri"/>
        </w:rPr>
        <w:t xml:space="preserve">Demonstrated ability to develop and maintain effective working relationships within and external to the organisation; ability to tactfully obtain cooperation from management and staff at all levels </w:t>
      </w:r>
    </w:p>
    <w:p w14:paraId="40B4B1BC" w14:textId="18523159" w:rsidR="00196DA9" w:rsidRDefault="00196DA9" w:rsidP="00196DA9">
      <w:pPr>
        <w:pStyle w:val="ListParagraph"/>
        <w:numPr>
          <w:ilvl w:val="0"/>
          <w:numId w:val="9"/>
        </w:numPr>
        <w:rPr>
          <w:rFonts w:ascii="Calibri" w:hAnsi="Calibri"/>
        </w:rPr>
      </w:pPr>
      <w:r>
        <w:rPr>
          <w:rFonts w:ascii="Calibri" w:hAnsi="Calibri"/>
        </w:rPr>
        <w:t xml:space="preserve">Demonstrates ability to coordinate a range of concurrent tasks, meeting varied and challenging deadlines, taking initiative and work effectively with others in demanding work environments </w:t>
      </w:r>
    </w:p>
    <w:p w14:paraId="243BEAE4" w14:textId="2FCBB31B" w:rsidR="002B63EC" w:rsidRPr="002B63EC" w:rsidRDefault="002B63EC" w:rsidP="00196DA9">
      <w:pPr>
        <w:pStyle w:val="ListParagraph"/>
        <w:numPr>
          <w:ilvl w:val="0"/>
          <w:numId w:val="9"/>
        </w:numPr>
        <w:rPr>
          <w:sz w:val="24"/>
        </w:rPr>
      </w:pPr>
      <w:r w:rsidRPr="002B63EC">
        <w:rPr>
          <w:szCs w:val="20"/>
          <w:lang w:val="en-US"/>
        </w:rPr>
        <w:t xml:space="preserve">Knowledge of Australian Employment legislation, </w:t>
      </w:r>
      <w:r w:rsidR="001D7A89">
        <w:rPr>
          <w:szCs w:val="20"/>
          <w:lang w:val="en-US"/>
        </w:rPr>
        <w:t xml:space="preserve">Public </w:t>
      </w:r>
      <w:r w:rsidRPr="002B63EC">
        <w:rPr>
          <w:szCs w:val="20"/>
          <w:lang w:val="en-US"/>
        </w:rPr>
        <w:t>Health Enterprise Bargaining Agreements and experience working in a Health environment essential.</w:t>
      </w:r>
    </w:p>
    <w:p w14:paraId="6C9E49BE" w14:textId="52767C60" w:rsidR="009E0663" w:rsidRDefault="009E0663" w:rsidP="00196DA9">
      <w:pPr>
        <w:pStyle w:val="ListParagraph"/>
        <w:numPr>
          <w:ilvl w:val="0"/>
          <w:numId w:val="9"/>
        </w:numPr>
        <w:rPr>
          <w:rFonts w:ascii="Calibri" w:hAnsi="Calibri"/>
        </w:rPr>
      </w:pPr>
      <w:r>
        <w:rPr>
          <w:rFonts w:ascii="Calibri" w:hAnsi="Calibri"/>
        </w:rPr>
        <w:t xml:space="preserve">Excellent communication, negotiation, organisation and time management skills </w:t>
      </w:r>
    </w:p>
    <w:p w14:paraId="0B458311" w14:textId="283D65EE" w:rsidR="009E0663" w:rsidRDefault="009E0663" w:rsidP="00196DA9">
      <w:pPr>
        <w:pStyle w:val="ListParagraph"/>
        <w:numPr>
          <w:ilvl w:val="0"/>
          <w:numId w:val="9"/>
        </w:numPr>
        <w:rPr>
          <w:rFonts w:ascii="Calibri" w:hAnsi="Calibri"/>
        </w:rPr>
      </w:pPr>
      <w:r>
        <w:rPr>
          <w:rFonts w:ascii="Calibri" w:hAnsi="Calibri"/>
        </w:rPr>
        <w:t xml:space="preserve">Demonstrated ability to facilitate discussion and manage conflict </w:t>
      </w:r>
    </w:p>
    <w:p w14:paraId="10B12965" w14:textId="049C4868" w:rsidR="009E0663" w:rsidRDefault="009E0663" w:rsidP="00196DA9">
      <w:pPr>
        <w:pStyle w:val="ListParagraph"/>
        <w:numPr>
          <w:ilvl w:val="0"/>
          <w:numId w:val="9"/>
        </w:numPr>
        <w:rPr>
          <w:rFonts w:ascii="Calibri" w:hAnsi="Calibri"/>
        </w:rPr>
      </w:pPr>
      <w:r>
        <w:rPr>
          <w:rFonts w:ascii="Calibri" w:hAnsi="Calibri"/>
        </w:rPr>
        <w:t xml:space="preserve">Commitment to quality, best practice and environmental safety </w:t>
      </w:r>
    </w:p>
    <w:p w14:paraId="101F59E3" w14:textId="77777777" w:rsidR="00196DA9" w:rsidRPr="00240DB8" w:rsidRDefault="00196DA9" w:rsidP="00D761C1">
      <w:pPr>
        <w:rPr>
          <w:rFonts w:ascii="Calibri" w:hAnsi="Calibri"/>
        </w:rPr>
      </w:pPr>
    </w:p>
    <w:p w14:paraId="44A1A12D" w14:textId="77777777" w:rsidR="002B63EC" w:rsidRDefault="002B63EC" w:rsidP="00D761C1">
      <w:pPr>
        <w:rPr>
          <w:rFonts w:ascii="Calibri" w:hAnsi="Calibri"/>
          <w:b/>
        </w:rPr>
      </w:pPr>
    </w:p>
    <w:p w14:paraId="7F1C0C69" w14:textId="3B5243E0" w:rsidR="00D761C1" w:rsidRDefault="00D761C1" w:rsidP="00D761C1">
      <w:pPr>
        <w:rPr>
          <w:rFonts w:ascii="Calibri" w:hAnsi="Calibri"/>
          <w:b/>
        </w:rPr>
      </w:pPr>
      <w:r w:rsidRPr="004F3CF2">
        <w:rPr>
          <w:rFonts w:ascii="Calibri" w:hAnsi="Calibri"/>
          <w:b/>
        </w:rPr>
        <w:lastRenderedPageBreak/>
        <w:t xml:space="preserve">Must comply </w:t>
      </w:r>
      <w:proofErr w:type="gramStart"/>
      <w:r w:rsidRPr="004F3CF2">
        <w:rPr>
          <w:rFonts w:ascii="Calibri" w:hAnsi="Calibri"/>
          <w:b/>
        </w:rPr>
        <w:t>to</w:t>
      </w:r>
      <w:proofErr w:type="gramEnd"/>
      <w:r w:rsidRPr="004F3CF2">
        <w:rPr>
          <w:rFonts w:ascii="Calibri" w:hAnsi="Calibri"/>
          <w:b/>
        </w:rPr>
        <w:t xml:space="preserve"> having or completion of:</w:t>
      </w:r>
    </w:p>
    <w:p w14:paraId="2F44C90A" w14:textId="77777777" w:rsidR="004F3CF2" w:rsidRPr="004F3CF2" w:rsidRDefault="004F3CF2" w:rsidP="00D761C1">
      <w:pPr>
        <w:rPr>
          <w:rFonts w:ascii="Calibri" w:hAnsi="Calibri"/>
          <w:b/>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3438A712" w14:textId="77777777" w:rsidR="002B63EC" w:rsidRDefault="002B63EC">
      <w:pPr>
        <w:rPr>
          <w:rFonts w:ascii="Calibri" w:hAnsi="Calibri"/>
          <w:b/>
        </w:rPr>
      </w:pPr>
    </w:p>
    <w:p w14:paraId="7F1C0C6C" w14:textId="3937FED9" w:rsidR="00D074F0" w:rsidRPr="00240DB8" w:rsidRDefault="004F3CF2">
      <w:pPr>
        <w:rPr>
          <w:rFonts w:ascii="Calibri" w:hAnsi="Calibri"/>
          <w:b/>
        </w:rPr>
      </w:pPr>
      <w:r>
        <w:rPr>
          <w:rFonts w:ascii="Calibri" w:hAnsi="Calibri"/>
          <w:b/>
        </w:rPr>
        <w:t>Desirable Criteria:</w:t>
      </w:r>
    </w:p>
    <w:p w14:paraId="7F1C0C6D" w14:textId="77777777" w:rsidR="00D074F0" w:rsidRPr="00240DB8" w:rsidRDefault="00D074F0">
      <w:pPr>
        <w:rPr>
          <w:rFonts w:ascii="Calibri" w:hAnsi="Calibri"/>
          <w:b/>
        </w:rPr>
      </w:pPr>
    </w:p>
    <w:p w14:paraId="2548DED1" w14:textId="4FCEBECE" w:rsidR="00A75616" w:rsidRDefault="002B63EC" w:rsidP="002B63EC">
      <w:pPr>
        <w:pStyle w:val="ListParagraph"/>
        <w:numPr>
          <w:ilvl w:val="0"/>
          <w:numId w:val="10"/>
        </w:numPr>
        <w:rPr>
          <w:rFonts w:ascii="Calibri" w:hAnsi="Calibri"/>
        </w:rPr>
      </w:pPr>
      <w:r>
        <w:rPr>
          <w:rFonts w:ascii="Calibri" w:hAnsi="Calibri"/>
        </w:rPr>
        <w:t>Experience with</w:t>
      </w:r>
      <w:r w:rsidR="009E0663" w:rsidRPr="002B63EC">
        <w:rPr>
          <w:rFonts w:ascii="Calibri" w:hAnsi="Calibri"/>
        </w:rPr>
        <w:t xml:space="preserve"> </w:t>
      </w:r>
      <w:r w:rsidRPr="002B63EC">
        <w:rPr>
          <w:rFonts w:ascii="Calibri" w:hAnsi="Calibri"/>
        </w:rPr>
        <w:t xml:space="preserve">HR system </w:t>
      </w:r>
      <w:r>
        <w:rPr>
          <w:rFonts w:ascii="Calibri" w:hAnsi="Calibri"/>
        </w:rPr>
        <w:t xml:space="preserve"> - </w:t>
      </w:r>
      <w:r w:rsidR="009E0663" w:rsidRPr="002B63EC">
        <w:rPr>
          <w:rFonts w:ascii="Calibri" w:hAnsi="Calibri"/>
        </w:rPr>
        <w:t xml:space="preserve">Chris 21 is advantageous </w:t>
      </w:r>
    </w:p>
    <w:p w14:paraId="497AB2FC" w14:textId="3F0DCD39" w:rsidR="002B63EC" w:rsidRPr="002B63EC" w:rsidRDefault="002B63EC" w:rsidP="002B63EC">
      <w:pPr>
        <w:pStyle w:val="ListParagraph"/>
        <w:numPr>
          <w:ilvl w:val="0"/>
          <w:numId w:val="10"/>
        </w:numPr>
        <w:rPr>
          <w:rFonts w:ascii="Calibri" w:hAnsi="Calibri"/>
        </w:rPr>
      </w:pPr>
      <w:r>
        <w:rPr>
          <w:rFonts w:ascii="Calibri" w:hAnsi="Calibri"/>
        </w:rPr>
        <w:t xml:space="preserve">Current drivers licence </w:t>
      </w: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21843272" w14:textId="77777777" w:rsidR="00D05750" w:rsidRDefault="00D05750" w:rsidP="00D05750">
      <w:pPr>
        <w:rPr>
          <w:rFonts w:ascii="Calibri" w:hAnsi="Calibri"/>
        </w:rPr>
      </w:pPr>
    </w:p>
    <w:p w14:paraId="12924EB2" w14:textId="77777777" w:rsidR="00C57297" w:rsidRDefault="00C57297" w:rsidP="00D05750">
      <w:pPr>
        <w:rPr>
          <w:rFonts w:ascii="Calibri" w:hAnsi="Calibri"/>
          <w:b/>
        </w:rPr>
      </w:pPr>
    </w:p>
    <w:p w14:paraId="678FFEBA" w14:textId="0398A8D9" w:rsidR="00D05750" w:rsidRDefault="00D05750" w:rsidP="00D05750">
      <w:pPr>
        <w:rPr>
          <w:rFonts w:ascii="Calibri" w:hAnsi="Calibri"/>
          <w:b/>
        </w:rPr>
      </w:pPr>
      <w:r>
        <w:rPr>
          <w:rFonts w:ascii="Calibri" w:hAnsi="Calibri"/>
          <w:b/>
        </w:rPr>
        <w:t>Acknowledgement</w:t>
      </w:r>
    </w:p>
    <w:p w14:paraId="7F1C0C8F" w14:textId="731062BB" w:rsidR="00240DB8" w:rsidRDefault="00240DB8" w:rsidP="00140799">
      <w:pPr>
        <w:rPr>
          <w:rFonts w:ascii="Calibri" w:hAnsi="Calibri"/>
        </w:rPr>
      </w:pPr>
    </w:p>
    <w:tbl>
      <w:tblPr>
        <w:tblStyle w:val="TableGrid"/>
        <w:tblW w:w="0" w:type="auto"/>
        <w:tblLook w:val="04A0" w:firstRow="1" w:lastRow="0" w:firstColumn="1" w:lastColumn="0" w:noHBand="0" w:noVBand="1"/>
      </w:tblPr>
      <w:tblGrid>
        <w:gridCol w:w="2405"/>
        <w:gridCol w:w="3866"/>
        <w:gridCol w:w="708"/>
        <w:gridCol w:w="2061"/>
      </w:tblGrid>
      <w:tr w:rsidR="00BB33BC" w:rsidRPr="00240DB8" w14:paraId="5FF78796" w14:textId="77777777" w:rsidTr="008E24F1">
        <w:trPr>
          <w:trHeight w:val="567"/>
        </w:trPr>
        <w:tc>
          <w:tcPr>
            <w:tcW w:w="2405" w:type="dxa"/>
            <w:vAlign w:val="center"/>
          </w:tcPr>
          <w:p w14:paraId="6BF9530B" w14:textId="77777777" w:rsidR="00BB33BC" w:rsidRPr="00D474FB" w:rsidRDefault="00BB33BC" w:rsidP="008E24F1">
            <w:pPr>
              <w:rPr>
                <w:rFonts w:ascii="Calibri" w:hAnsi="Calibri"/>
                <w:b/>
              </w:rPr>
            </w:pPr>
            <w:r w:rsidRPr="00D474FB">
              <w:rPr>
                <w:rFonts w:ascii="Calibri" w:hAnsi="Calibri"/>
                <w:b/>
              </w:rPr>
              <w:t>Employee Name:</w:t>
            </w:r>
          </w:p>
        </w:tc>
        <w:tc>
          <w:tcPr>
            <w:tcW w:w="6635" w:type="dxa"/>
            <w:gridSpan w:val="3"/>
            <w:vAlign w:val="center"/>
          </w:tcPr>
          <w:p w14:paraId="56F3BF1C" w14:textId="77777777" w:rsidR="00BB33BC" w:rsidRPr="00240DB8" w:rsidRDefault="00BB33BC" w:rsidP="008E24F1">
            <w:pPr>
              <w:rPr>
                <w:rFonts w:ascii="Calibri" w:hAnsi="Calibri"/>
              </w:rPr>
            </w:pPr>
          </w:p>
        </w:tc>
      </w:tr>
      <w:tr w:rsidR="00BB33BC" w:rsidRPr="00240DB8" w14:paraId="6503A818" w14:textId="77777777" w:rsidTr="008E24F1">
        <w:trPr>
          <w:trHeight w:val="567"/>
        </w:trPr>
        <w:tc>
          <w:tcPr>
            <w:tcW w:w="2405" w:type="dxa"/>
            <w:vAlign w:val="center"/>
          </w:tcPr>
          <w:p w14:paraId="36196D58" w14:textId="77777777" w:rsidR="00BB33BC" w:rsidRPr="00D474FB" w:rsidRDefault="00BB33BC" w:rsidP="008E24F1">
            <w:pPr>
              <w:rPr>
                <w:rFonts w:ascii="Calibri" w:hAnsi="Calibri"/>
                <w:b/>
              </w:rPr>
            </w:pPr>
            <w:r w:rsidRPr="00D474FB">
              <w:rPr>
                <w:rFonts w:ascii="Calibri" w:hAnsi="Calibri"/>
                <w:b/>
              </w:rPr>
              <w:t>Employee Signature:</w:t>
            </w:r>
          </w:p>
        </w:tc>
        <w:tc>
          <w:tcPr>
            <w:tcW w:w="3866" w:type="dxa"/>
            <w:vAlign w:val="center"/>
          </w:tcPr>
          <w:p w14:paraId="0884995F" w14:textId="77777777" w:rsidR="00BB33BC" w:rsidRPr="00240DB8" w:rsidRDefault="00BB33BC" w:rsidP="008E24F1">
            <w:pPr>
              <w:rPr>
                <w:rFonts w:ascii="Calibri" w:hAnsi="Calibri"/>
              </w:rPr>
            </w:pPr>
          </w:p>
        </w:tc>
        <w:tc>
          <w:tcPr>
            <w:tcW w:w="708" w:type="dxa"/>
            <w:vAlign w:val="center"/>
          </w:tcPr>
          <w:p w14:paraId="61FC812A" w14:textId="77777777" w:rsidR="00BB33BC" w:rsidRPr="00D474FB" w:rsidRDefault="00BB33BC" w:rsidP="008E24F1">
            <w:pPr>
              <w:rPr>
                <w:rFonts w:ascii="Calibri" w:hAnsi="Calibri"/>
                <w:b/>
              </w:rPr>
            </w:pPr>
            <w:r w:rsidRPr="00D474FB">
              <w:rPr>
                <w:rFonts w:ascii="Calibri" w:hAnsi="Calibri"/>
                <w:b/>
              </w:rPr>
              <w:t>Date:</w:t>
            </w:r>
          </w:p>
        </w:tc>
        <w:tc>
          <w:tcPr>
            <w:tcW w:w="2061" w:type="dxa"/>
            <w:vAlign w:val="center"/>
          </w:tcPr>
          <w:p w14:paraId="2EF4162E" w14:textId="77777777" w:rsidR="00BB33BC" w:rsidRPr="00240DB8" w:rsidRDefault="00BB33BC" w:rsidP="008E24F1">
            <w:pPr>
              <w:rPr>
                <w:rFonts w:ascii="Calibri" w:hAnsi="Calibri"/>
              </w:rPr>
            </w:pPr>
          </w:p>
        </w:tc>
      </w:tr>
      <w:tr w:rsidR="00BB33BC" w:rsidRPr="00240DB8" w14:paraId="3A638B00" w14:textId="77777777" w:rsidTr="008E24F1">
        <w:trPr>
          <w:trHeight w:val="284"/>
        </w:trPr>
        <w:tc>
          <w:tcPr>
            <w:tcW w:w="2405" w:type="dxa"/>
            <w:shd w:val="clear" w:color="auto" w:fill="E7E6E6" w:themeFill="background2"/>
            <w:vAlign w:val="center"/>
          </w:tcPr>
          <w:p w14:paraId="58548233" w14:textId="77777777" w:rsidR="00BB33BC" w:rsidRPr="00240DB8" w:rsidRDefault="00BB33BC" w:rsidP="008E24F1">
            <w:pPr>
              <w:rPr>
                <w:rFonts w:ascii="Calibri" w:hAnsi="Calibri"/>
              </w:rPr>
            </w:pPr>
          </w:p>
        </w:tc>
        <w:tc>
          <w:tcPr>
            <w:tcW w:w="6635" w:type="dxa"/>
            <w:gridSpan w:val="3"/>
            <w:shd w:val="clear" w:color="auto" w:fill="E7E6E6" w:themeFill="background2"/>
            <w:vAlign w:val="center"/>
          </w:tcPr>
          <w:p w14:paraId="3D13C46E" w14:textId="77777777" w:rsidR="00BB33BC" w:rsidRPr="00240DB8" w:rsidRDefault="00BB33BC" w:rsidP="008E24F1">
            <w:pPr>
              <w:rPr>
                <w:rFonts w:ascii="Calibri" w:hAnsi="Calibri"/>
              </w:rPr>
            </w:pPr>
          </w:p>
        </w:tc>
      </w:tr>
      <w:tr w:rsidR="00BB33BC" w:rsidRPr="00240DB8" w14:paraId="228317DA" w14:textId="77777777" w:rsidTr="008E24F1">
        <w:trPr>
          <w:trHeight w:val="567"/>
        </w:trPr>
        <w:tc>
          <w:tcPr>
            <w:tcW w:w="2405" w:type="dxa"/>
            <w:vAlign w:val="center"/>
          </w:tcPr>
          <w:p w14:paraId="17D84D14" w14:textId="77777777" w:rsidR="00BB33BC" w:rsidRPr="00D474FB" w:rsidRDefault="00BB33BC" w:rsidP="008E24F1">
            <w:pPr>
              <w:rPr>
                <w:rFonts w:ascii="Calibri" w:hAnsi="Calibri"/>
                <w:b/>
              </w:rPr>
            </w:pPr>
            <w:r w:rsidRPr="00D474FB">
              <w:rPr>
                <w:rFonts w:ascii="Calibri" w:hAnsi="Calibri"/>
                <w:b/>
              </w:rPr>
              <w:t>Manager Name:</w:t>
            </w:r>
          </w:p>
        </w:tc>
        <w:tc>
          <w:tcPr>
            <w:tcW w:w="6635" w:type="dxa"/>
            <w:gridSpan w:val="3"/>
            <w:vAlign w:val="center"/>
          </w:tcPr>
          <w:p w14:paraId="6011B614" w14:textId="77777777" w:rsidR="00BB33BC" w:rsidRPr="00240DB8" w:rsidRDefault="00BB33BC" w:rsidP="008E24F1">
            <w:pPr>
              <w:rPr>
                <w:rFonts w:ascii="Calibri" w:hAnsi="Calibri"/>
              </w:rPr>
            </w:pPr>
          </w:p>
        </w:tc>
      </w:tr>
      <w:tr w:rsidR="00BB33BC" w:rsidRPr="00240DB8" w14:paraId="63FCC31D" w14:textId="77777777" w:rsidTr="008E24F1">
        <w:trPr>
          <w:trHeight w:val="567"/>
        </w:trPr>
        <w:tc>
          <w:tcPr>
            <w:tcW w:w="2405" w:type="dxa"/>
            <w:vAlign w:val="center"/>
          </w:tcPr>
          <w:p w14:paraId="1A36BFF8" w14:textId="77777777" w:rsidR="00BB33BC" w:rsidRPr="00D474FB" w:rsidRDefault="00BB33BC" w:rsidP="008E24F1">
            <w:pPr>
              <w:rPr>
                <w:rFonts w:ascii="Calibri" w:hAnsi="Calibri"/>
                <w:b/>
              </w:rPr>
            </w:pPr>
            <w:r w:rsidRPr="00D474FB">
              <w:rPr>
                <w:rFonts w:ascii="Calibri" w:hAnsi="Calibri"/>
                <w:b/>
              </w:rPr>
              <w:t>Manager Signature :</w:t>
            </w:r>
          </w:p>
        </w:tc>
        <w:tc>
          <w:tcPr>
            <w:tcW w:w="3866" w:type="dxa"/>
            <w:vAlign w:val="center"/>
          </w:tcPr>
          <w:p w14:paraId="416F424B" w14:textId="77777777" w:rsidR="00BB33BC" w:rsidRPr="00240DB8" w:rsidRDefault="00BB33BC" w:rsidP="008E24F1">
            <w:pPr>
              <w:rPr>
                <w:rFonts w:ascii="Calibri" w:hAnsi="Calibri"/>
              </w:rPr>
            </w:pPr>
          </w:p>
        </w:tc>
        <w:tc>
          <w:tcPr>
            <w:tcW w:w="708" w:type="dxa"/>
            <w:vAlign w:val="center"/>
          </w:tcPr>
          <w:p w14:paraId="644F0FBC" w14:textId="77777777" w:rsidR="00BB33BC" w:rsidRPr="00D474FB" w:rsidRDefault="00BB33BC" w:rsidP="008E24F1">
            <w:pPr>
              <w:rPr>
                <w:rFonts w:ascii="Calibri" w:hAnsi="Calibri"/>
                <w:b/>
              </w:rPr>
            </w:pPr>
            <w:r w:rsidRPr="00D474FB">
              <w:rPr>
                <w:rFonts w:ascii="Calibri" w:hAnsi="Calibri"/>
                <w:b/>
              </w:rPr>
              <w:t>Date:</w:t>
            </w:r>
          </w:p>
        </w:tc>
        <w:tc>
          <w:tcPr>
            <w:tcW w:w="2061" w:type="dxa"/>
            <w:vAlign w:val="center"/>
          </w:tcPr>
          <w:p w14:paraId="481B8CFE" w14:textId="77777777" w:rsidR="00BB33BC" w:rsidRPr="00240DB8" w:rsidRDefault="00BB33BC" w:rsidP="008E24F1">
            <w:pPr>
              <w:rPr>
                <w:rFonts w:ascii="Calibri" w:hAnsi="Calibri"/>
              </w:rPr>
            </w:pPr>
          </w:p>
        </w:tc>
      </w:tr>
      <w:tr w:rsidR="00BB33BC" w:rsidRPr="00240DB8" w14:paraId="66DE3A21" w14:textId="77777777" w:rsidTr="008E24F1">
        <w:trPr>
          <w:trHeight w:val="284"/>
        </w:trPr>
        <w:tc>
          <w:tcPr>
            <w:tcW w:w="2405" w:type="dxa"/>
            <w:shd w:val="clear" w:color="auto" w:fill="E7E6E6" w:themeFill="background2"/>
            <w:vAlign w:val="center"/>
          </w:tcPr>
          <w:p w14:paraId="72D61D61" w14:textId="77777777" w:rsidR="00BB33BC" w:rsidRPr="00240DB8" w:rsidRDefault="00BB33BC" w:rsidP="008E24F1">
            <w:pPr>
              <w:rPr>
                <w:rFonts w:ascii="Calibri" w:hAnsi="Calibri"/>
              </w:rPr>
            </w:pPr>
          </w:p>
        </w:tc>
        <w:tc>
          <w:tcPr>
            <w:tcW w:w="6635" w:type="dxa"/>
            <w:gridSpan w:val="3"/>
            <w:shd w:val="clear" w:color="auto" w:fill="E7E6E6" w:themeFill="background2"/>
            <w:vAlign w:val="center"/>
          </w:tcPr>
          <w:p w14:paraId="1B31F705" w14:textId="77777777" w:rsidR="00BB33BC" w:rsidRPr="00240DB8" w:rsidRDefault="00BB33BC" w:rsidP="008E24F1">
            <w:pPr>
              <w:rPr>
                <w:rFonts w:ascii="Calibri" w:hAnsi="Calibri"/>
              </w:rPr>
            </w:pPr>
          </w:p>
        </w:tc>
      </w:tr>
      <w:tr w:rsidR="00BB33BC" w:rsidRPr="00D474FB" w14:paraId="21993B2E" w14:textId="77777777" w:rsidTr="008E24F1">
        <w:trPr>
          <w:trHeight w:val="283"/>
        </w:trPr>
        <w:tc>
          <w:tcPr>
            <w:tcW w:w="2405" w:type="dxa"/>
            <w:vAlign w:val="center"/>
          </w:tcPr>
          <w:p w14:paraId="7668F07B" w14:textId="77777777" w:rsidR="00BB33BC" w:rsidRPr="00D474FB" w:rsidRDefault="00BB33BC" w:rsidP="008E24F1">
            <w:pPr>
              <w:rPr>
                <w:rFonts w:ascii="Calibri" w:hAnsi="Calibri"/>
                <w:b/>
              </w:rPr>
            </w:pPr>
            <w:r w:rsidRPr="00D474FB">
              <w:rPr>
                <w:rFonts w:ascii="Calibri" w:hAnsi="Calibri"/>
                <w:b/>
              </w:rPr>
              <w:t>Developed Date:</w:t>
            </w:r>
          </w:p>
        </w:tc>
        <w:tc>
          <w:tcPr>
            <w:tcW w:w="6635" w:type="dxa"/>
            <w:gridSpan w:val="3"/>
            <w:vAlign w:val="center"/>
          </w:tcPr>
          <w:p w14:paraId="32DE9F7D" w14:textId="72150AE6" w:rsidR="00BB33BC" w:rsidRPr="00D474FB" w:rsidRDefault="00FD5A6B" w:rsidP="008E24F1">
            <w:pPr>
              <w:rPr>
                <w:rFonts w:ascii="Calibri" w:hAnsi="Calibri"/>
                <w:b/>
              </w:rPr>
            </w:pPr>
            <w:r>
              <w:rPr>
                <w:rFonts w:ascii="Calibri" w:hAnsi="Calibri"/>
                <w:b/>
              </w:rPr>
              <w:t>February 2022</w:t>
            </w:r>
          </w:p>
        </w:tc>
      </w:tr>
      <w:tr w:rsidR="00BB33BC" w:rsidRPr="00D474FB" w14:paraId="0834662E" w14:textId="77777777" w:rsidTr="008E24F1">
        <w:trPr>
          <w:trHeight w:val="283"/>
        </w:trPr>
        <w:tc>
          <w:tcPr>
            <w:tcW w:w="2405" w:type="dxa"/>
            <w:vAlign w:val="center"/>
          </w:tcPr>
          <w:p w14:paraId="0E80131B" w14:textId="77777777" w:rsidR="00BB33BC" w:rsidRPr="00D474FB" w:rsidRDefault="00BB33BC" w:rsidP="008E24F1">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6269998B" w14:textId="6675F144" w:rsidR="00BB33BC" w:rsidRPr="00D474FB" w:rsidRDefault="00FD5A6B" w:rsidP="008E24F1">
            <w:pPr>
              <w:rPr>
                <w:rFonts w:ascii="Calibri" w:hAnsi="Calibri"/>
                <w:b/>
              </w:rPr>
            </w:pPr>
            <w:r>
              <w:rPr>
                <w:rFonts w:ascii="Calibri" w:hAnsi="Calibri"/>
                <w:b/>
              </w:rPr>
              <w:t>Ros Bloomfield</w:t>
            </w:r>
          </w:p>
        </w:tc>
      </w:tr>
      <w:tr w:rsidR="00BB33BC" w:rsidRPr="00D474FB" w14:paraId="594D6A91" w14:textId="77777777" w:rsidTr="008E24F1">
        <w:trPr>
          <w:trHeight w:val="283"/>
        </w:trPr>
        <w:tc>
          <w:tcPr>
            <w:tcW w:w="2405" w:type="dxa"/>
            <w:vAlign w:val="center"/>
          </w:tcPr>
          <w:p w14:paraId="5D40AFC7" w14:textId="77777777" w:rsidR="00BB33BC" w:rsidRPr="00D474FB" w:rsidRDefault="00BB33BC" w:rsidP="008E24F1">
            <w:pPr>
              <w:rPr>
                <w:rFonts w:ascii="Calibri" w:hAnsi="Calibri"/>
                <w:b/>
              </w:rPr>
            </w:pPr>
            <w:r>
              <w:rPr>
                <w:rFonts w:ascii="Calibri" w:hAnsi="Calibri"/>
                <w:b/>
              </w:rPr>
              <w:t>Developed by – Title:</w:t>
            </w:r>
          </w:p>
        </w:tc>
        <w:tc>
          <w:tcPr>
            <w:tcW w:w="6635" w:type="dxa"/>
            <w:gridSpan w:val="3"/>
            <w:vAlign w:val="center"/>
          </w:tcPr>
          <w:p w14:paraId="15A4408F" w14:textId="3C4C0F17" w:rsidR="00BB33BC" w:rsidRDefault="00BB33BC" w:rsidP="008E24F1">
            <w:pPr>
              <w:rPr>
                <w:rFonts w:ascii="Calibri" w:hAnsi="Calibri"/>
                <w:b/>
              </w:rPr>
            </w:pPr>
            <w:r>
              <w:rPr>
                <w:rFonts w:ascii="Calibri" w:hAnsi="Calibri"/>
                <w:b/>
              </w:rPr>
              <w:t>Human Resources</w:t>
            </w:r>
            <w:r w:rsidR="00FD5A6B">
              <w:rPr>
                <w:rFonts w:ascii="Calibri" w:hAnsi="Calibri"/>
                <w:b/>
              </w:rPr>
              <w:t xml:space="preserve"> Manager</w:t>
            </w:r>
          </w:p>
        </w:tc>
      </w:tr>
      <w:tr w:rsidR="00BB33BC" w:rsidRPr="00D474FB" w14:paraId="04028378" w14:textId="77777777" w:rsidTr="008E24F1">
        <w:trPr>
          <w:trHeight w:val="283"/>
        </w:trPr>
        <w:tc>
          <w:tcPr>
            <w:tcW w:w="2405" w:type="dxa"/>
            <w:vAlign w:val="center"/>
          </w:tcPr>
          <w:p w14:paraId="09FE147F" w14:textId="77777777" w:rsidR="00BB33BC" w:rsidRDefault="00BB33BC" w:rsidP="008E24F1">
            <w:pPr>
              <w:rPr>
                <w:rFonts w:ascii="Calibri" w:hAnsi="Calibri"/>
                <w:b/>
              </w:rPr>
            </w:pPr>
            <w:r>
              <w:rPr>
                <w:rFonts w:ascii="Calibri" w:hAnsi="Calibri"/>
                <w:b/>
              </w:rPr>
              <w:t>Date of Next Review:</w:t>
            </w:r>
          </w:p>
        </w:tc>
        <w:tc>
          <w:tcPr>
            <w:tcW w:w="6635" w:type="dxa"/>
            <w:gridSpan w:val="3"/>
            <w:vAlign w:val="center"/>
          </w:tcPr>
          <w:p w14:paraId="7364FB1D" w14:textId="2DED0A84" w:rsidR="00BB33BC" w:rsidRDefault="00FD5A6B" w:rsidP="008E24F1">
            <w:pPr>
              <w:rPr>
                <w:rFonts w:ascii="Calibri" w:hAnsi="Calibri"/>
                <w:b/>
              </w:rPr>
            </w:pPr>
            <w:r>
              <w:rPr>
                <w:rFonts w:ascii="Calibri" w:hAnsi="Calibri"/>
                <w:b/>
              </w:rPr>
              <w:t>February 2023</w:t>
            </w:r>
          </w:p>
        </w:tc>
      </w:tr>
    </w:tbl>
    <w:p w14:paraId="56A8A30F" w14:textId="77777777" w:rsidR="00BB33BC" w:rsidRPr="00240DB8" w:rsidRDefault="00BB33BC" w:rsidP="00140799">
      <w:pPr>
        <w:rPr>
          <w:rFonts w:ascii="Calibri" w:hAnsi="Calibri"/>
        </w:rPr>
      </w:pPr>
    </w:p>
    <w:sectPr w:rsidR="00BB33BC" w:rsidRPr="00240DB8" w:rsidSect="005E6FEF">
      <w:headerReference w:type="even" r:id="rId26"/>
      <w:headerReference w:type="default" r:id="rId27"/>
      <w:footerReference w:type="even" r:id="rId28"/>
      <w:footerReference w:type="default" r:id="rId29"/>
      <w:headerReference w:type="first" r:id="rId30"/>
      <w:footerReference w:type="firs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90F" w14:textId="77777777" w:rsidR="00A23E18" w:rsidRDefault="00A23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4BD25EBC" w:rsidR="0059103F" w:rsidRDefault="004F3CF2"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Human Resources Officer</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0DD22D99"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FD5A6B">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FD5A6B">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3E40" w14:textId="77777777" w:rsidR="00A23E18" w:rsidRDefault="00A2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B2C6" w14:textId="77777777" w:rsidR="00A23E18" w:rsidRDefault="00A23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66D27FD"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A90C" w14:textId="77777777" w:rsidR="00A23E18" w:rsidRDefault="00A23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159"/>
    <w:multiLevelType w:val="hybridMultilevel"/>
    <w:tmpl w:val="551A401A"/>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B1B1E"/>
    <w:multiLevelType w:val="hybridMultilevel"/>
    <w:tmpl w:val="FA401EE6"/>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4915A1"/>
    <w:multiLevelType w:val="hybridMultilevel"/>
    <w:tmpl w:val="D7BA8A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D21244"/>
    <w:multiLevelType w:val="hybridMultilevel"/>
    <w:tmpl w:val="EBB2AC74"/>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25FD4"/>
    <w:multiLevelType w:val="hybridMultilevel"/>
    <w:tmpl w:val="F27C00B6"/>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3447DC9"/>
    <w:multiLevelType w:val="multilevel"/>
    <w:tmpl w:val="CDE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D03DF"/>
    <w:multiLevelType w:val="multilevel"/>
    <w:tmpl w:val="5C0006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AD4AC1"/>
    <w:multiLevelType w:val="multilevel"/>
    <w:tmpl w:val="5C0006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3"/>
  </w:num>
  <w:num w:numId="9">
    <w:abstractNumId w:val="7"/>
  </w:num>
  <w:num w:numId="10">
    <w:abstractNumId w:val="2"/>
  </w:num>
  <w:num w:numId="11">
    <w:abstractNumId w:val="5"/>
  </w:num>
  <w:num w:numId="12">
    <w:abstractNumId w:val="0"/>
  </w:num>
  <w:num w:numId="13">
    <w:abstractNumId w:val="4"/>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C409E"/>
    <w:rsid w:val="0012484E"/>
    <w:rsid w:val="00140799"/>
    <w:rsid w:val="00167B03"/>
    <w:rsid w:val="00196DA9"/>
    <w:rsid w:val="001B125D"/>
    <w:rsid w:val="001D7A89"/>
    <w:rsid w:val="001E5E1D"/>
    <w:rsid w:val="00210735"/>
    <w:rsid w:val="00240DB8"/>
    <w:rsid w:val="002851A6"/>
    <w:rsid w:val="002B48F0"/>
    <w:rsid w:val="002B63EC"/>
    <w:rsid w:val="002C148E"/>
    <w:rsid w:val="002E4599"/>
    <w:rsid w:val="003B050C"/>
    <w:rsid w:val="003B2ADB"/>
    <w:rsid w:val="003B5B62"/>
    <w:rsid w:val="003E7193"/>
    <w:rsid w:val="0045394E"/>
    <w:rsid w:val="004B2911"/>
    <w:rsid w:val="004D156E"/>
    <w:rsid w:val="004F3CF2"/>
    <w:rsid w:val="0059103F"/>
    <w:rsid w:val="005E6FEF"/>
    <w:rsid w:val="00632316"/>
    <w:rsid w:val="00637C87"/>
    <w:rsid w:val="0067123D"/>
    <w:rsid w:val="006F5A01"/>
    <w:rsid w:val="007961F0"/>
    <w:rsid w:val="007C29E1"/>
    <w:rsid w:val="007D0C11"/>
    <w:rsid w:val="00831C67"/>
    <w:rsid w:val="00836A95"/>
    <w:rsid w:val="00877EE8"/>
    <w:rsid w:val="00910F70"/>
    <w:rsid w:val="00942507"/>
    <w:rsid w:val="009636A7"/>
    <w:rsid w:val="00994AD9"/>
    <w:rsid w:val="009D40D6"/>
    <w:rsid w:val="009E0663"/>
    <w:rsid w:val="00A23E18"/>
    <w:rsid w:val="00A428F3"/>
    <w:rsid w:val="00A75616"/>
    <w:rsid w:val="00AC6A9E"/>
    <w:rsid w:val="00B5709E"/>
    <w:rsid w:val="00B64BF6"/>
    <w:rsid w:val="00BA0FDA"/>
    <w:rsid w:val="00BB33BC"/>
    <w:rsid w:val="00C0703A"/>
    <w:rsid w:val="00C078F5"/>
    <w:rsid w:val="00C1332B"/>
    <w:rsid w:val="00C45AB5"/>
    <w:rsid w:val="00C473E2"/>
    <w:rsid w:val="00C57297"/>
    <w:rsid w:val="00CC027F"/>
    <w:rsid w:val="00CC79B0"/>
    <w:rsid w:val="00CE4068"/>
    <w:rsid w:val="00CF2AF2"/>
    <w:rsid w:val="00D05750"/>
    <w:rsid w:val="00D05CDB"/>
    <w:rsid w:val="00D074F0"/>
    <w:rsid w:val="00D761C1"/>
    <w:rsid w:val="00DC5D07"/>
    <w:rsid w:val="00DE3EA0"/>
    <w:rsid w:val="00E1009F"/>
    <w:rsid w:val="00E21A9D"/>
    <w:rsid w:val="00E31BB5"/>
    <w:rsid w:val="00E47C02"/>
    <w:rsid w:val="00E90298"/>
    <w:rsid w:val="00EF5A58"/>
    <w:rsid w:val="00F95267"/>
    <w:rsid w:val="00F95BB1"/>
    <w:rsid w:val="00FD190D"/>
    <w:rsid w:val="00FD5A6B"/>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02">
      <w:bodyDiv w:val="1"/>
      <w:marLeft w:val="0"/>
      <w:marRight w:val="0"/>
      <w:marTop w:val="0"/>
      <w:marBottom w:val="0"/>
      <w:divBdr>
        <w:top w:val="none" w:sz="0" w:space="0" w:color="auto"/>
        <w:left w:val="none" w:sz="0" w:space="0" w:color="auto"/>
        <w:bottom w:val="none" w:sz="0" w:space="0" w:color="auto"/>
        <w:right w:val="none" w:sz="0" w:space="0" w:color="auto"/>
      </w:divBdr>
    </w:div>
    <w:div w:id="621182464">
      <w:bodyDiv w:val="1"/>
      <w:marLeft w:val="0"/>
      <w:marRight w:val="0"/>
      <w:marTop w:val="0"/>
      <w:marBottom w:val="0"/>
      <w:divBdr>
        <w:top w:val="none" w:sz="0" w:space="0" w:color="auto"/>
        <w:left w:val="none" w:sz="0" w:space="0" w:color="auto"/>
        <w:bottom w:val="none" w:sz="0" w:space="0" w:color="auto"/>
        <w:right w:val="none" w:sz="0" w:space="0" w:color="auto"/>
      </w:divBdr>
    </w:div>
    <w:div w:id="1492327945">
      <w:bodyDiv w:val="1"/>
      <w:marLeft w:val="0"/>
      <w:marRight w:val="0"/>
      <w:marTop w:val="0"/>
      <w:marBottom w:val="0"/>
      <w:divBdr>
        <w:top w:val="none" w:sz="0" w:space="0" w:color="auto"/>
        <w:left w:val="none" w:sz="0" w:space="0" w:color="auto"/>
        <w:bottom w:val="none" w:sz="0" w:space="0" w:color="auto"/>
        <w:right w:val="none" w:sz="0" w:space="0" w:color="auto"/>
      </w:divBdr>
      <w:divsChild>
        <w:div w:id="369913369">
          <w:marLeft w:val="0"/>
          <w:marRight w:val="0"/>
          <w:marTop w:val="0"/>
          <w:marBottom w:val="0"/>
          <w:divBdr>
            <w:top w:val="none" w:sz="0" w:space="0" w:color="auto"/>
            <w:left w:val="none" w:sz="0" w:space="0" w:color="auto"/>
            <w:bottom w:val="none" w:sz="0" w:space="0" w:color="auto"/>
            <w:right w:val="none" w:sz="0" w:space="0" w:color="auto"/>
          </w:divBdr>
          <w:divsChild>
            <w:div w:id="1625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74602465-af2b-4cf5-9621-273e2f56288b"/>
    <ds:schemaRef ds:uri="http://schemas.microsoft.com/office/2006/documentManagement/types"/>
    <ds:schemaRef ds:uri="4bb73870-fd99-4377-8349-8b4d240f77ba"/>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51C5AC-0EE0-4503-AD5A-A26A8D0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3</cp:revision>
  <cp:lastPrinted>2017-08-08T03:40:00Z</cp:lastPrinted>
  <dcterms:created xsi:type="dcterms:W3CDTF">2022-01-31T22:36:00Z</dcterms:created>
  <dcterms:modified xsi:type="dcterms:W3CDTF">2022-01-31T22:39:00Z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